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A21" w:rsidRPr="0035650D" w:rsidRDefault="001D1A21" w:rsidP="0035650D"/>
    <w:p w:rsidR="007506CC" w:rsidRDefault="007506CC" w:rsidP="007506CC">
      <w:pPr>
        <w:ind w:left="720" w:hanging="720"/>
      </w:pPr>
      <w:r w:rsidRPr="007506CC">
        <w:rPr>
          <w:b/>
        </w:rPr>
        <w:t xml:space="preserve">Part A </w:t>
      </w:r>
    </w:p>
    <w:p w:rsidR="007506CC" w:rsidRPr="007506CC" w:rsidRDefault="007506CC" w:rsidP="007506CC">
      <w:pPr>
        <w:ind w:left="720" w:hanging="720"/>
      </w:pPr>
      <w:r w:rsidRPr="007506CC">
        <w:t>Colorado Company has provided you the following information.</w:t>
      </w:r>
    </w:p>
    <w:p w:rsidR="007506CC" w:rsidRDefault="007506CC" w:rsidP="007506CC">
      <w:pPr>
        <w:ind w:left="720" w:hanging="720"/>
        <w:rPr>
          <w:u w:val="single"/>
        </w:rPr>
      </w:pPr>
    </w:p>
    <w:p w:rsidR="007506CC" w:rsidRPr="007506CC" w:rsidRDefault="007506CC" w:rsidP="007506CC">
      <w:pPr>
        <w:tabs>
          <w:tab w:val="left" w:pos="2160"/>
          <w:tab w:val="left" w:pos="4500"/>
        </w:tabs>
        <w:ind w:left="720"/>
        <w:rPr>
          <w:u w:val="single"/>
        </w:rPr>
      </w:pPr>
      <w:r w:rsidRPr="007506CC">
        <w:rPr>
          <w:u w:val="single"/>
        </w:rPr>
        <w:t>Year</w:t>
      </w:r>
      <w:r w:rsidRPr="007506CC">
        <w:tab/>
      </w:r>
      <w:r w:rsidRPr="007506CC">
        <w:rPr>
          <w:u w:val="single"/>
        </w:rPr>
        <w:t>Taxable income</w:t>
      </w:r>
      <w:r w:rsidRPr="007506CC">
        <w:tab/>
      </w:r>
      <w:r w:rsidRPr="007506CC">
        <w:rPr>
          <w:u w:val="single"/>
        </w:rPr>
        <w:t>Income tax rate</w:t>
      </w:r>
    </w:p>
    <w:p w:rsidR="007506CC" w:rsidRPr="007506CC" w:rsidRDefault="007506CC" w:rsidP="007506CC">
      <w:pPr>
        <w:tabs>
          <w:tab w:val="left" w:pos="2160"/>
          <w:tab w:val="left" w:pos="4500"/>
        </w:tabs>
        <w:ind w:left="720"/>
      </w:pPr>
      <w:r w:rsidRPr="007506CC">
        <w:t>2014</w:t>
      </w:r>
      <w:r w:rsidRPr="007506CC">
        <w:tab/>
        <w:t>$390,000</w:t>
      </w:r>
      <w:r w:rsidRPr="007506CC">
        <w:tab/>
        <w:t xml:space="preserve">35%  </w:t>
      </w:r>
    </w:p>
    <w:p w:rsidR="007506CC" w:rsidRPr="007506CC" w:rsidRDefault="007506CC" w:rsidP="007506CC">
      <w:pPr>
        <w:tabs>
          <w:tab w:val="left" w:pos="2160"/>
          <w:tab w:val="left" w:pos="4500"/>
        </w:tabs>
        <w:ind w:left="720"/>
      </w:pPr>
      <w:r w:rsidRPr="007506CC">
        <w:t>2015</w:t>
      </w:r>
      <w:r w:rsidRPr="007506CC">
        <w:tab/>
        <w:t>$320,000</w:t>
      </w:r>
      <w:r w:rsidRPr="007506CC">
        <w:tab/>
        <w:t>37%</w:t>
      </w:r>
    </w:p>
    <w:p w:rsidR="007506CC" w:rsidRPr="007506CC" w:rsidRDefault="007506CC" w:rsidP="007506CC">
      <w:pPr>
        <w:tabs>
          <w:tab w:val="left" w:pos="2160"/>
          <w:tab w:val="left" w:pos="4500"/>
        </w:tabs>
        <w:ind w:left="720"/>
      </w:pPr>
      <w:r w:rsidRPr="007506CC">
        <w:t>2016</w:t>
      </w:r>
      <w:r w:rsidRPr="007506CC">
        <w:tab/>
        <w:t>$400,000</w:t>
      </w:r>
      <w:r w:rsidRPr="007506CC">
        <w:tab/>
        <w:t>40%</w:t>
      </w:r>
    </w:p>
    <w:p w:rsidR="007506CC" w:rsidRPr="007506CC" w:rsidRDefault="007506CC" w:rsidP="007506CC">
      <w:pPr>
        <w:tabs>
          <w:tab w:val="left" w:pos="2160"/>
          <w:tab w:val="left" w:pos="4500"/>
        </w:tabs>
        <w:ind w:left="720"/>
      </w:pPr>
      <w:r w:rsidRPr="007506CC">
        <w:t>2017</w:t>
      </w:r>
      <w:r w:rsidRPr="007506CC">
        <w:tab/>
        <w:t>($1,200,000)</w:t>
      </w:r>
      <w:r w:rsidRPr="007506CC">
        <w:tab/>
        <w:t>40%</w:t>
      </w:r>
    </w:p>
    <w:p w:rsidR="007506CC" w:rsidRDefault="007506CC" w:rsidP="007506CC"/>
    <w:p w:rsidR="007506CC" w:rsidRPr="007506CC" w:rsidRDefault="007506CC" w:rsidP="007506CC">
      <w:r w:rsidRPr="007506CC">
        <w:t>Colorado Company has decided to use the loss carryback and carryforward provision as a result of the year 2017 loss. The enacted tax rate remains at 40% after year 2017. Colorado Company has determined that a valuation allowance is not necessary.</w:t>
      </w:r>
    </w:p>
    <w:p w:rsidR="007506CC" w:rsidRDefault="007506CC" w:rsidP="007506CC">
      <w:pPr>
        <w:ind w:left="720" w:hanging="720"/>
        <w:rPr>
          <w:b/>
          <w:u w:val="single"/>
        </w:rPr>
      </w:pPr>
    </w:p>
    <w:p w:rsidR="007506CC" w:rsidRDefault="007506CC" w:rsidP="007506CC">
      <w:r w:rsidRPr="007506CC">
        <w:t>Prepare the journal entry on December 31, 2017 to record the carryback and carryforward decision.</w:t>
      </w:r>
    </w:p>
    <w:p w:rsidR="00F5347D" w:rsidRDefault="00F5347D" w:rsidP="007506CC"/>
    <w:p w:rsidR="00F5347D" w:rsidRPr="007506CC" w:rsidRDefault="00F5347D" w:rsidP="007506CC"/>
    <w:p w:rsidR="007506CC" w:rsidRPr="007506CC" w:rsidRDefault="007506CC" w:rsidP="007506CC">
      <w:pPr>
        <w:pStyle w:val="NormalWeb"/>
        <w:spacing w:before="0" w:beforeAutospacing="0" w:after="0" w:afterAutospacing="0"/>
      </w:pPr>
    </w:p>
    <w:tbl>
      <w:tblPr>
        <w:tblW w:w="9547" w:type="dxa"/>
        <w:tblInd w:w="108" w:type="dxa"/>
        <w:tblLook w:val="04A0" w:firstRow="1" w:lastRow="0" w:firstColumn="1" w:lastColumn="0" w:noHBand="0" w:noVBand="1"/>
      </w:tblPr>
      <w:tblGrid>
        <w:gridCol w:w="990"/>
        <w:gridCol w:w="2339"/>
        <w:gridCol w:w="290"/>
        <w:gridCol w:w="986"/>
        <w:gridCol w:w="1336"/>
        <w:gridCol w:w="843"/>
        <w:gridCol w:w="936"/>
        <w:gridCol w:w="1177"/>
        <w:gridCol w:w="1425"/>
      </w:tblGrid>
      <w:tr w:rsidR="00F5347D" w:rsidTr="00F5347D">
        <w:trPr>
          <w:trHeight w:val="397"/>
        </w:trPr>
        <w:tc>
          <w:tcPr>
            <w:tcW w:w="990" w:type="dxa"/>
            <w:tcBorders>
              <w:top w:val="nil"/>
              <w:left w:val="nil"/>
              <w:bottom w:val="nil"/>
              <w:right w:val="nil"/>
            </w:tcBorders>
            <w:shd w:val="clear" w:color="auto" w:fill="auto"/>
            <w:noWrap/>
            <w:vAlign w:val="center"/>
            <w:hideMark/>
          </w:tcPr>
          <w:p w:rsidR="00F5347D" w:rsidRDefault="00F5347D">
            <w:pPr>
              <w:rPr>
                <w:color w:val="000000"/>
              </w:rPr>
            </w:pPr>
            <w:r>
              <w:rPr>
                <w:color w:val="000000"/>
              </w:rPr>
              <w:t xml:space="preserve">   YEAR</w:t>
            </w:r>
          </w:p>
        </w:tc>
        <w:tc>
          <w:tcPr>
            <w:tcW w:w="2339" w:type="dxa"/>
            <w:tcBorders>
              <w:top w:val="nil"/>
              <w:left w:val="nil"/>
              <w:bottom w:val="nil"/>
              <w:right w:val="nil"/>
            </w:tcBorders>
            <w:shd w:val="clear" w:color="auto" w:fill="auto"/>
            <w:noWrap/>
            <w:vAlign w:val="center"/>
            <w:hideMark/>
          </w:tcPr>
          <w:p w:rsidR="00F5347D" w:rsidRDefault="00F5347D">
            <w:pPr>
              <w:rPr>
                <w:color w:val="000000"/>
              </w:rPr>
            </w:pPr>
            <w:r>
              <w:rPr>
                <w:color w:val="000000"/>
              </w:rPr>
              <w:t>Transaction</w:t>
            </w:r>
          </w:p>
        </w:tc>
        <w:tc>
          <w:tcPr>
            <w:tcW w:w="290" w:type="dxa"/>
            <w:tcBorders>
              <w:top w:val="nil"/>
              <w:left w:val="nil"/>
              <w:bottom w:val="nil"/>
              <w:right w:val="nil"/>
            </w:tcBorders>
            <w:shd w:val="clear" w:color="auto" w:fill="auto"/>
            <w:noWrap/>
            <w:vAlign w:val="bottom"/>
            <w:hideMark/>
          </w:tcPr>
          <w:p w:rsidR="00F5347D" w:rsidRDefault="00F5347D">
            <w:pPr>
              <w:rPr>
                <w:color w:val="000000"/>
              </w:rPr>
            </w:pPr>
          </w:p>
        </w:tc>
        <w:tc>
          <w:tcPr>
            <w:tcW w:w="841" w:type="dxa"/>
            <w:tcBorders>
              <w:top w:val="nil"/>
              <w:left w:val="nil"/>
              <w:bottom w:val="nil"/>
              <w:right w:val="nil"/>
            </w:tcBorders>
            <w:shd w:val="clear" w:color="auto" w:fill="auto"/>
            <w:noWrap/>
            <w:vAlign w:val="center"/>
            <w:hideMark/>
          </w:tcPr>
          <w:p w:rsidR="00F5347D" w:rsidRDefault="00F5347D">
            <w:pPr>
              <w:rPr>
                <w:color w:val="000000"/>
              </w:rPr>
            </w:pPr>
            <w:r>
              <w:rPr>
                <w:color w:val="000000"/>
              </w:rPr>
              <w:t>NOL</w:t>
            </w:r>
          </w:p>
        </w:tc>
        <w:tc>
          <w:tcPr>
            <w:tcW w:w="1140" w:type="dxa"/>
            <w:tcBorders>
              <w:top w:val="nil"/>
              <w:left w:val="nil"/>
              <w:bottom w:val="nil"/>
              <w:right w:val="nil"/>
            </w:tcBorders>
            <w:shd w:val="clear" w:color="auto" w:fill="auto"/>
            <w:vAlign w:val="center"/>
            <w:hideMark/>
          </w:tcPr>
          <w:p w:rsidR="00F5347D" w:rsidRDefault="00F5347D">
            <w:pPr>
              <w:jc w:val="center"/>
              <w:rPr>
                <w:color w:val="000000"/>
              </w:rPr>
            </w:pPr>
            <w:r>
              <w:rPr>
                <w:color w:val="000000"/>
              </w:rPr>
              <w:t>TAXABLE INCOME</w:t>
            </w:r>
          </w:p>
        </w:tc>
        <w:tc>
          <w:tcPr>
            <w:tcW w:w="719" w:type="dxa"/>
            <w:tcBorders>
              <w:top w:val="nil"/>
              <w:left w:val="nil"/>
              <w:bottom w:val="nil"/>
              <w:right w:val="nil"/>
            </w:tcBorders>
            <w:shd w:val="clear" w:color="auto" w:fill="auto"/>
            <w:vAlign w:val="center"/>
            <w:hideMark/>
          </w:tcPr>
          <w:p w:rsidR="00F5347D" w:rsidRDefault="00F5347D">
            <w:pPr>
              <w:jc w:val="center"/>
              <w:rPr>
                <w:color w:val="000000"/>
              </w:rPr>
            </w:pPr>
            <w:r>
              <w:rPr>
                <w:color w:val="000000"/>
              </w:rPr>
              <w:t>TAX RATE</w:t>
            </w:r>
          </w:p>
        </w:tc>
        <w:tc>
          <w:tcPr>
            <w:tcW w:w="799" w:type="dxa"/>
            <w:tcBorders>
              <w:top w:val="nil"/>
              <w:left w:val="nil"/>
              <w:bottom w:val="nil"/>
              <w:right w:val="nil"/>
            </w:tcBorders>
            <w:shd w:val="clear" w:color="auto" w:fill="auto"/>
            <w:vAlign w:val="center"/>
            <w:hideMark/>
          </w:tcPr>
          <w:p w:rsidR="00F5347D" w:rsidRDefault="00F5347D">
            <w:pPr>
              <w:jc w:val="center"/>
              <w:rPr>
                <w:color w:val="000000"/>
              </w:rPr>
            </w:pPr>
            <w:r>
              <w:rPr>
                <w:color w:val="000000"/>
              </w:rPr>
              <w:t>TAX PAID</w:t>
            </w:r>
          </w:p>
        </w:tc>
        <w:tc>
          <w:tcPr>
            <w:tcW w:w="1004" w:type="dxa"/>
            <w:tcBorders>
              <w:top w:val="nil"/>
              <w:left w:val="nil"/>
              <w:bottom w:val="nil"/>
              <w:right w:val="nil"/>
            </w:tcBorders>
            <w:shd w:val="clear" w:color="auto" w:fill="auto"/>
            <w:vAlign w:val="center"/>
            <w:hideMark/>
          </w:tcPr>
          <w:p w:rsidR="00F5347D" w:rsidRDefault="00F5347D">
            <w:pPr>
              <w:jc w:val="center"/>
              <w:rPr>
                <w:color w:val="000000"/>
              </w:rPr>
            </w:pPr>
            <w:r>
              <w:rPr>
                <w:color w:val="000000"/>
              </w:rPr>
              <w:t xml:space="preserve">TAX REFUND </w:t>
            </w:r>
          </w:p>
        </w:tc>
        <w:tc>
          <w:tcPr>
            <w:tcW w:w="1425" w:type="dxa"/>
            <w:tcBorders>
              <w:top w:val="nil"/>
              <w:left w:val="nil"/>
              <w:bottom w:val="nil"/>
              <w:right w:val="nil"/>
            </w:tcBorders>
            <w:shd w:val="clear" w:color="auto" w:fill="auto"/>
            <w:noWrap/>
            <w:vAlign w:val="bottom"/>
            <w:hideMark/>
          </w:tcPr>
          <w:p w:rsidR="00F5347D" w:rsidRDefault="00F5347D">
            <w:pPr>
              <w:jc w:val="center"/>
              <w:rPr>
                <w:color w:val="00000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bottom"/>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bottom"/>
            <w:hideMark/>
          </w:tcPr>
          <w:p w:rsidR="00F5347D" w:rsidRDefault="00F5347D">
            <w:pPr>
              <w:rPr>
                <w:sz w:val="20"/>
                <w:szCs w:val="20"/>
              </w:rPr>
            </w:pPr>
          </w:p>
        </w:tc>
        <w:tc>
          <w:tcPr>
            <w:tcW w:w="1140" w:type="dxa"/>
            <w:tcBorders>
              <w:top w:val="nil"/>
              <w:left w:val="nil"/>
              <w:bottom w:val="nil"/>
              <w:right w:val="nil"/>
            </w:tcBorders>
            <w:shd w:val="clear" w:color="auto" w:fill="auto"/>
            <w:noWrap/>
            <w:vAlign w:val="bottom"/>
            <w:hideMark/>
          </w:tcPr>
          <w:p w:rsidR="00F5347D" w:rsidRDefault="00F5347D">
            <w:pPr>
              <w:rPr>
                <w:sz w:val="20"/>
                <w:szCs w:val="20"/>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center"/>
            <w:hideMark/>
          </w:tcPr>
          <w:p w:rsidR="00F5347D" w:rsidRDefault="00F5347D">
            <w:pPr>
              <w:rPr>
                <w:sz w:val="20"/>
                <w:szCs w:val="20"/>
              </w:rPr>
            </w:pPr>
          </w:p>
        </w:tc>
        <w:tc>
          <w:tcPr>
            <w:tcW w:w="1004" w:type="dxa"/>
            <w:tcBorders>
              <w:top w:val="nil"/>
              <w:left w:val="nil"/>
              <w:bottom w:val="nil"/>
              <w:right w:val="nil"/>
            </w:tcBorders>
            <w:shd w:val="clear" w:color="auto" w:fill="auto"/>
            <w:noWrap/>
            <w:vAlign w:val="center"/>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jc w:val="right"/>
              <w:rPr>
                <w:color w:val="000000"/>
              </w:rPr>
            </w:pPr>
            <w:r>
              <w:rPr>
                <w:color w:val="000000"/>
              </w:rPr>
              <w:t>2017</w:t>
            </w:r>
          </w:p>
        </w:tc>
        <w:tc>
          <w:tcPr>
            <w:tcW w:w="2339"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r>
              <w:rPr>
                <w:color w:val="000000"/>
                <w:sz w:val="22"/>
                <w:szCs w:val="22"/>
              </w:rPr>
              <w:t>Net of Loss</w:t>
            </w:r>
          </w:p>
        </w:tc>
        <w:tc>
          <w:tcPr>
            <w:tcW w:w="290"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p>
        </w:tc>
        <w:tc>
          <w:tcPr>
            <w:tcW w:w="841"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r>
              <w:rPr>
                <w:color w:val="000000"/>
                <w:sz w:val="22"/>
                <w:szCs w:val="22"/>
              </w:rPr>
              <w:t>-1200000</w:t>
            </w:r>
          </w:p>
        </w:tc>
        <w:tc>
          <w:tcPr>
            <w:tcW w:w="1140"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jc w:val="right"/>
              <w:rPr>
                <w:color w:val="000000"/>
              </w:rPr>
            </w:pPr>
            <w:r>
              <w:rPr>
                <w:color w:val="000000"/>
              </w:rPr>
              <w:t>2015</w:t>
            </w:r>
          </w:p>
        </w:tc>
        <w:tc>
          <w:tcPr>
            <w:tcW w:w="2339"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320000</w:t>
            </w: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320000</w:t>
            </w:r>
          </w:p>
        </w:tc>
        <w:tc>
          <w:tcPr>
            <w:tcW w:w="719" w:type="dxa"/>
            <w:tcBorders>
              <w:top w:val="nil"/>
              <w:left w:val="nil"/>
              <w:bottom w:val="nil"/>
              <w:right w:val="nil"/>
            </w:tcBorders>
            <w:shd w:val="clear" w:color="auto" w:fill="auto"/>
            <w:noWrap/>
            <w:vAlign w:val="center"/>
            <w:hideMark/>
          </w:tcPr>
          <w:p w:rsidR="00F5347D" w:rsidRDefault="00F5347D">
            <w:pPr>
              <w:jc w:val="center"/>
              <w:rPr>
                <w:color w:val="000000"/>
              </w:rPr>
            </w:pPr>
            <w:r>
              <w:rPr>
                <w:color w:val="000000"/>
              </w:rPr>
              <w:t>40%</w:t>
            </w:r>
          </w:p>
        </w:tc>
        <w:tc>
          <w:tcPr>
            <w:tcW w:w="799"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128000</w:t>
            </w:r>
          </w:p>
        </w:tc>
        <w:tc>
          <w:tcPr>
            <w:tcW w:w="1004"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128000</w:t>
            </w:r>
          </w:p>
        </w:tc>
        <w:tc>
          <w:tcPr>
            <w:tcW w:w="1425" w:type="dxa"/>
            <w:tcBorders>
              <w:top w:val="nil"/>
              <w:left w:val="nil"/>
              <w:bottom w:val="nil"/>
              <w:right w:val="nil"/>
            </w:tcBorders>
            <w:shd w:val="clear" w:color="auto" w:fill="auto"/>
            <w:noWrap/>
            <w:vAlign w:val="bottom"/>
            <w:hideMark/>
          </w:tcPr>
          <w:p w:rsidR="00F5347D" w:rsidRDefault="00F5347D">
            <w:pPr>
              <w:jc w:val="right"/>
              <w:rPr>
                <w:color w:val="00000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bottom"/>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-880000</w:t>
            </w: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u w:val="single"/>
              </w:rPr>
            </w:pPr>
            <w:r>
              <w:rPr>
                <w:color w:val="000000"/>
                <w:u w:val="single"/>
              </w:rPr>
              <w:t>-320000</w:t>
            </w:r>
          </w:p>
        </w:tc>
        <w:tc>
          <w:tcPr>
            <w:tcW w:w="719" w:type="dxa"/>
            <w:tcBorders>
              <w:top w:val="nil"/>
              <w:left w:val="nil"/>
              <w:bottom w:val="nil"/>
              <w:right w:val="nil"/>
            </w:tcBorders>
            <w:shd w:val="clear" w:color="auto" w:fill="auto"/>
            <w:noWrap/>
            <w:vAlign w:val="center"/>
            <w:hideMark/>
          </w:tcPr>
          <w:p w:rsidR="00F5347D" w:rsidRDefault="00F5347D">
            <w:pPr>
              <w:jc w:val="right"/>
              <w:rPr>
                <w:color w:val="000000"/>
                <w:u w:val="single"/>
              </w:rPr>
            </w:pPr>
          </w:p>
        </w:tc>
        <w:tc>
          <w:tcPr>
            <w:tcW w:w="799" w:type="dxa"/>
            <w:tcBorders>
              <w:top w:val="nil"/>
              <w:left w:val="nil"/>
              <w:bottom w:val="nil"/>
              <w:right w:val="nil"/>
            </w:tcBorders>
            <w:shd w:val="clear" w:color="auto" w:fill="auto"/>
            <w:noWrap/>
            <w:vAlign w:val="bottom"/>
            <w:hideMark/>
          </w:tcPr>
          <w:p w:rsidR="00F5347D" w:rsidRDefault="00F5347D">
            <w:pPr>
              <w:jc w:val="cente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bottom"/>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bottom"/>
            <w:hideMark/>
          </w:tcPr>
          <w:p w:rsidR="00F5347D" w:rsidRDefault="00F5347D">
            <w:pPr>
              <w:rPr>
                <w:sz w:val="20"/>
                <w:szCs w:val="20"/>
              </w:rPr>
            </w:pP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u w:val="double"/>
              </w:rPr>
            </w:pPr>
            <w:r>
              <w:rPr>
                <w:color w:val="000000"/>
                <w:u w:val="double"/>
              </w:rPr>
              <w:t>0</w:t>
            </w:r>
          </w:p>
        </w:tc>
        <w:tc>
          <w:tcPr>
            <w:tcW w:w="719" w:type="dxa"/>
            <w:tcBorders>
              <w:top w:val="nil"/>
              <w:left w:val="nil"/>
              <w:bottom w:val="nil"/>
              <w:right w:val="nil"/>
            </w:tcBorders>
            <w:shd w:val="clear" w:color="auto" w:fill="auto"/>
            <w:noWrap/>
            <w:vAlign w:val="center"/>
            <w:hideMark/>
          </w:tcPr>
          <w:p w:rsidR="00F5347D" w:rsidRDefault="00F5347D">
            <w:pPr>
              <w:jc w:val="center"/>
              <w:rPr>
                <w:color w:val="000000"/>
              </w:rPr>
            </w:pPr>
            <w:r>
              <w:rPr>
                <w:color w:val="000000"/>
              </w:rPr>
              <w:t>40%</w:t>
            </w:r>
          </w:p>
        </w:tc>
        <w:tc>
          <w:tcPr>
            <w:tcW w:w="799" w:type="dxa"/>
            <w:tcBorders>
              <w:top w:val="nil"/>
              <w:left w:val="nil"/>
              <w:bottom w:val="nil"/>
              <w:right w:val="nil"/>
            </w:tcBorders>
            <w:shd w:val="clear" w:color="auto" w:fill="auto"/>
            <w:noWrap/>
            <w:vAlign w:val="center"/>
            <w:hideMark/>
          </w:tcPr>
          <w:p w:rsidR="00F5347D" w:rsidRDefault="00F5347D">
            <w:pPr>
              <w:jc w:val="right"/>
              <w:rPr>
                <w:color w:val="000000"/>
                <w:u w:val="double"/>
              </w:rPr>
            </w:pPr>
            <w:r>
              <w:rPr>
                <w:color w:val="000000"/>
                <w:u w:val="double"/>
              </w:rPr>
              <w:t>0</w:t>
            </w:r>
          </w:p>
        </w:tc>
        <w:tc>
          <w:tcPr>
            <w:tcW w:w="1004" w:type="dxa"/>
            <w:tcBorders>
              <w:top w:val="nil"/>
              <w:left w:val="nil"/>
              <w:bottom w:val="nil"/>
              <w:right w:val="nil"/>
            </w:tcBorders>
            <w:shd w:val="clear" w:color="auto" w:fill="auto"/>
            <w:noWrap/>
            <w:vAlign w:val="center"/>
            <w:hideMark/>
          </w:tcPr>
          <w:p w:rsidR="00F5347D" w:rsidRDefault="00F5347D">
            <w:pPr>
              <w:jc w:val="right"/>
              <w:rPr>
                <w:color w:val="000000"/>
                <w:u w:val="double"/>
              </w:rPr>
            </w:pPr>
          </w:p>
        </w:tc>
        <w:tc>
          <w:tcPr>
            <w:tcW w:w="1425" w:type="dxa"/>
            <w:tcBorders>
              <w:top w:val="nil"/>
              <w:left w:val="nil"/>
              <w:bottom w:val="nil"/>
              <w:right w:val="nil"/>
            </w:tcBorders>
            <w:shd w:val="clear" w:color="auto" w:fill="auto"/>
            <w:noWrap/>
            <w:vAlign w:val="center"/>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jc w:val="right"/>
              <w:rPr>
                <w:color w:val="000000"/>
              </w:rPr>
            </w:pPr>
            <w:r>
              <w:rPr>
                <w:color w:val="000000"/>
              </w:rPr>
              <w:t>2016</w:t>
            </w:r>
          </w:p>
        </w:tc>
        <w:tc>
          <w:tcPr>
            <w:tcW w:w="2339"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bottom"/>
            <w:hideMark/>
          </w:tcPr>
          <w:p w:rsidR="00F5347D" w:rsidRDefault="00F5347D">
            <w:pPr>
              <w:rPr>
                <w:sz w:val="20"/>
                <w:szCs w:val="20"/>
              </w:rPr>
            </w:pP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400000</w:t>
            </w:r>
          </w:p>
        </w:tc>
        <w:tc>
          <w:tcPr>
            <w:tcW w:w="719" w:type="dxa"/>
            <w:tcBorders>
              <w:top w:val="nil"/>
              <w:left w:val="nil"/>
              <w:bottom w:val="nil"/>
              <w:right w:val="nil"/>
            </w:tcBorders>
            <w:shd w:val="clear" w:color="auto" w:fill="auto"/>
            <w:noWrap/>
            <w:vAlign w:val="center"/>
            <w:hideMark/>
          </w:tcPr>
          <w:p w:rsidR="00F5347D" w:rsidRDefault="00F5347D">
            <w:pPr>
              <w:jc w:val="center"/>
              <w:rPr>
                <w:color w:val="000000"/>
              </w:rPr>
            </w:pPr>
            <w:r>
              <w:rPr>
                <w:color w:val="000000"/>
              </w:rPr>
              <w:t>40%</w:t>
            </w:r>
          </w:p>
        </w:tc>
        <w:tc>
          <w:tcPr>
            <w:tcW w:w="799"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160000</w:t>
            </w:r>
          </w:p>
        </w:tc>
        <w:tc>
          <w:tcPr>
            <w:tcW w:w="1004"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160000</w:t>
            </w:r>
          </w:p>
        </w:tc>
        <w:tc>
          <w:tcPr>
            <w:tcW w:w="1425" w:type="dxa"/>
            <w:tcBorders>
              <w:top w:val="nil"/>
              <w:left w:val="nil"/>
              <w:bottom w:val="nil"/>
              <w:right w:val="nil"/>
            </w:tcBorders>
            <w:shd w:val="clear" w:color="auto" w:fill="auto"/>
            <w:noWrap/>
            <w:vAlign w:val="bottom"/>
            <w:hideMark/>
          </w:tcPr>
          <w:p w:rsidR="00F5347D" w:rsidRDefault="00F5347D">
            <w:pPr>
              <w:jc w:val="right"/>
              <w:rPr>
                <w:color w:val="000000"/>
              </w:rPr>
            </w:pPr>
          </w:p>
        </w:tc>
      </w:tr>
      <w:tr w:rsidR="00F5347D" w:rsidTr="00F5347D">
        <w:trPr>
          <w:trHeight w:val="22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bottom"/>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400000</w:t>
            </w: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u w:val="single"/>
              </w:rPr>
            </w:pPr>
            <w:r>
              <w:rPr>
                <w:color w:val="000000"/>
                <w:u w:val="single"/>
              </w:rPr>
              <w:t>-400000</w:t>
            </w:r>
          </w:p>
        </w:tc>
        <w:tc>
          <w:tcPr>
            <w:tcW w:w="719" w:type="dxa"/>
            <w:tcBorders>
              <w:top w:val="nil"/>
              <w:left w:val="nil"/>
              <w:bottom w:val="nil"/>
              <w:right w:val="nil"/>
            </w:tcBorders>
            <w:shd w:val="clear" w:color="auto" w:fill="auto"/>
            <w:noWrap/>
            <w:vAlign w:val="center"/>
            <w:hideMark/>
          </w:tcPr>
          <w:p w:rsidR="00F5347D" w:rsidRDefault="00F5347D">
            <w:pPr>
              <w:jc w:val="right"/>
              <w:rPr>
                <w:color w:val="000000"/>
                <w:u w:val="single"/>
              </w:rPr>
            </w:pPr>
          </w:p>
        </w:tc>
        <w:tc>
          <w:tcPr>
            <w:tcW w:w="799" w:type="dxa"/>
            <w:tcBorders>
              <w:top w:val="nil"/>
              <w:left w:val="nil"/>
              <w:bottom w:val="nil"/>
              <w:right w:val="nil"/>
            </w:tcBorders>
            <w:shd w:val="clear" w:color="auto" w:fill="auto"/>
            <w:noWrap/>
            <w:vAlign w:val="bottom"/>
            <w:hideMark/>
          </w:tcPr>
          <w:p w:rsidR="00F5347D" w:rsidRDefault="00F5347D">
            <w:pPr>
              <w:jc w:val="center"/>
              <w:rPr>
                <w:sz w:val="20"/>
                <w:szCs w:val="20"/>
              </w:rPr>
            </w:pPr>
          </w:p>
        </w:tc>
        <w:tc>
          <w:tcPr>
            <w:tcW w:w="1004" w:type="dxa"/>
            <w:tcBorders>
              <w:top w:val="single" w:sz="4" w:space="0" w:color="auto"/>
              <w:left w:val="nil"/>
              <w:bottom w:val="double" w:sz="6" w:space="0" w:color="auto"/>
              <w:right w:val="nil"/>
            </w:tcBorders>
            <w:shd w:val="clear" w:color="auto" w:fill="auto"/>
            <w:noWrap/>
            <w:vAlign w:val="bottom"/>
            <w:hideMark/>
          </w:tcPr>
          <w:p w:rsidR="00F5347D" w:rsidRDefault="00F5347D">
            <w:pPr>
              <w:jc w:val="right"/>
              <w:rPr>
                <w:color w:val="000000"/>
              </w:rPr>
            </w:pPr>
            <w:r>
              <w:rPr>
                <w:color w:val="000000"/>
              </w:rPr>
              <w:t>288000</w:t>
            </w:r>
          </w:p>
        </w:tc>
        <w:tc>
          <w:tcPr>
            <w:tcW w:w="1425" w:type="dxa"/>
            <w:tcBorders>
              <w:top w:val="nil"/>
              <w:left w:val="nil"/>
              <w:bottom w:val="nil"/>
              <w:right w:val="nil"/>
            </w:tcBorders>
            <w:shd w:val="clear" w:color="auto" w:fill="auto"/>
            <w:noWrap/>
            <w:vAlign w:val="bottom"/>
            <w:hideMark/>
          </w:tcPr>
          <w:p w:rsidR="00F5347D" w:rsidRDefault="00F5347D">
            <w:pPr>
              <w:rPr>
                <w:rFonts w:ascii="Calibri" w:hAnsi="Calibri"/>
                <w:color w:val="000000"/>
                <w:sz w:val="22"/>
                <w:szCs w:val="22"/>
              </w:rPr>
            </w:pPr>
            <w:r>
              <w:rPr>
                <w:rFonts w:ascii="Calibri" w:hAnsi="Calibri"/>
                <w:color w:val="000000"/>
                <w:sz w:val="22"/>
                <w:szCs w:val="22"/>
              </w:rPr>
              <w:t>Income tax refund</w:t>
            </w:r>
          </w:p>
        </w:tc>
      </w:tr>
      <w:tr w:rsidR="00F5347D" w:rsidTr="00F5347D">
        <w:trPr>
          <w:trHeight w:val="240"/>
        </w:trPr>
        <w:tc>
          <w:tcPr>
            <w:tcW w:w="990" w:type="dxa"/>
            <w:tcBorders>
              <w:top w:val="nil"/>
              <w:left w:val="nil"/>
              <w:bottom w:val="nil"/>
              <w:right w:val="nil"/>
            </w:tcBorders>
            <w:shd w:val="clear" w:color="auto" w:fill="auto"/>
            <w:noWrap/>
            <w:vAlign w:val="bottom"/>
            <w:hideMark/>
          </w:tcPr>
          <w:p w:rsidR="00F5347D" w:rsidRDefault="00F5347D">
            <w:pPr>
              <w:rPr>
                <w:rFonts w:ascii="Calibri" w:hAnsi="Calibri"/>
                <w:color w:val="000000"/>
                <w:sz w:val="22"/>
                <w:szCs w:val="22"/>
              </w:rPr>
            </w:pPr>
          </w:p>
        </w:tc>
        <w:tc>
          <w:tcPr>
            <w:tcW w:w="2339"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r>
              <w:rPr>
                <w:color w:val="000000"/>
                <w:sz w:val="22"/>
                <w:szCs w:val="22"/>
              </w:rPr>
              <w:t>Net of Loss</w:t>
            </w:r>
          </w:p>
        </w:tc>
        <w:tc>
          <w:tcPr>
            <w:tcW w:w="290" w:type="dxa"/>
            <w:tcBorders>
              <w:top w:val="nil"/>
              <w:left w:val="nil"/>
              <w:bottom w:val="nil"/>
              <w:right w:val="nil"/>
            </w:tcBorders>
            <w:shd w:val="clear" w:color="auto" w:fill="auto"/>
            <w:noWrap/>
            <w:vAlign w:val="bottom"/>
            <w:hideMark/>
          </w:tcPr>
          <w:p w:rsidR="00F5347D" w:rsidRDefault="00F5347D">
            <w:pPr>
              <w:jc w:val="right"/>
              <w:rPr>
                <w:color w:val="000000"/>
                <w:sz w:val="22"/>
                <w:szCs w:val="22"/>
              </w:rPr>
            </w:pPr>
          </w:p>
        </w:tc>
        <w:tc>
          <w:tcPr>
            <w:tcW w:w="841" w:type="dxa"/>
            <w:tcBorders>
              <w:top w:val="single" w:sz="4" w:space="0" w:color="auto"/>
              <w:left w:val="nil"/>
              <w:bottom w:val="double" w:sz="6" w:space="0" w:color="auto"/>
              <w:right w:val="nil"/>
            </w:tcBorders>
            <w:shd w:val="clear" w:color="auto" w:fill="auto"/>
            <w:noWrap/>
            <w:vAlign w:val="center"/>
            <w:hideMark/>
          </w:tcPr>
          <w:p w:rsidR="00F5347D" w:rsidRDefault="00F5347D">
            <w:pPr>
              <w:jc w:val="right"/>
              <w:rPr>
                <w:color w:val="000000"/>
              </w:rPr>
            </w:pPr>
            <w:r>
              <w:rPr>
                <w:color w:val="000000"/>
              </w:rPr>
              <w:t>-480000</w:t>
            </w:r>
          </w:p>
        </w:tc>
        <w:tc>
          <w:tcPr>
            <w:tcW w:w="1140" w:type="dxa"/>
            <w:tcBorders>
              <w:top w:val="nil"/>
              <w:left w:val="nil"/>
              <w:bottom w:val="nil"/>
              <w:right w:val="nil"/>
            </w:tcBorders>
            <w:shd w:val="clear" w:color="auto" w:fill="auto"/>
            <w:noWrap/>
            <w:vAlign w:val="center"/>
            <w:hideMark/>
          </w:tcPr>
          <w:p w:rsidR="00F5347D" w:rsidRDefault="00F5347D">
            <w:pPr>
              <w:jc w:val="right"/>
              <w:rPr>
                <w:color w:val="000000"/>
                <w:u w:val="double"/>
              </w:rPr>
            </w:pPr>
            <w:r>
              <w:rPr>
                <w:color w:val="000000"/>
                <w:u w:val="double"/>
              </w:rPr>
              <w:t>0</w:t>
            </w:r>
          </w:p>
        </w:tc>
        <w:tc>
          <w:tcPr>
            <w:tcW w:w="719" w:type="dxa"/>
            <w:tcBorders>
              <w:top w:val="nil"/>
              <w:left w:val="nil"/>
              <w:bottom w:val="nil"/>
              <w:right w:val="nil"/>
            </w:tcBorders>
            <w:shd w:val="clear" w:color="auto" w:fill="auto"/>
            <w:noWrap/>
            <w:vAlign w:val="center"/>
            <w:hideMark/>
          </w:tcPr>
          <w:p w:rsidR="00F5347D" w:rsidRDefault="00F5347D">
            <w:pPr>
              <w:jc w:val="center"/>
              <w:rPr>
                <w:color w:val="000000"/>
              </w:rPr>
            </w:pPr>
            <w:r>
              <w:rPr>
                <w:color w:val="000000"/>
              </w:rPr>
              <w:t>40%</w:t>
            </w:r>
          </w:p>
        </w:tc>
        <w:tc>
          <w:tcPr>
            <w:tcW w:w="799" w:type="dxa"/>
            <w:tcBorders>
              <w:top w:val="nil"/>
              <w:left w:val="nil"/>
              <w:bottom w:val="nil"/>
              <w:right w:val="nil"/>
            </w:tcBorders>
            <w:shd w:val="clear" w:color="auto" w:fill="auto"/>
            <w:noWrap/>
            <w:vAlign w:val="bottom"/>
            <w:hideMark/>
          </w:tcPr>
          <w:p w:rsidR="00F5347D" w:rsidRDefault="00F5347D">
            <w:pPr>
              <w:jc w:val="center"/>
              <w:rPr>
                <w:color w:val="00000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center"/>
            <w:hideMark/>
          </w:tcPr>
          <w:p w:rsidR="00F5347D" w:rsidRDefault="00F5347D">
            <w:pPr>
              <w:rPr>
                <w:sz w:val="20"/>
                <w:szCs w:val="20"/>
              </w:rPr>
            </w:pPr>
          </w:p>
        </w:tc>
      </w:tr>
      <w:tr w:rsidR="00F5347D" w:rsidTr="00F5347D">
        <w:trPr>
          <w:trHeight w:val="22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bottom"/>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bottom"/>
            <w:hideMark/>
          </w:tcPr>
          <w:p w:rsidR="00F5347D" w:rsidRDefault="00F5347D">
            <w:pPr>
              <w:rPr>
                <w:sz w:val="20"/>
                <w:szCs w:val="20"/>
              </w:rPr>
            </w:pPr>
          </w:p>
        </w:tc>
        <w:tc>
          <w:tcPr>
            <w:tcW w:w="1140" w:type="dxa"/>
            <w:tcBorders>
              <w:top w:val="nil"/>
              <w:left w:val="nil"/>
              <w:bottom w:val="nil"/>
              <w:right w:val="nil"/>
            </w:tcBorders>
            <w:shd w:val="clear" w:color="auto" w:fill="auto"/>
            <w:noWrap/>
            <w:vAlign w:val="bottom"/>
            <w:hideMark/>
          </w:tcPr>
          <w:p w:rsidR="00F5347D" w:rsidRDefault="00F5347D">
            <w:pPr>
              <w:rPr>
                <w:sz w:val="20"/>
                <w:szCs w:val="20"/>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jc w:val="cente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center"/>
            <w:hideMark/>
          </w:tcPr>
          <w:p w:rsidR="00F5347D" w:rsidRDefault="00F5347D">
            <w:pPr>
              <w:rPr>
                <w:sz w:val="20"/>
                <w:szCs w:val="20"/>
              </w:rPr>
            </w:pPr>
          </w:p>
        </w:tc>
        <w:tc>
          <w:tcPr>
            <w:tcW w:w="290" w:type="dxa"/>
            <w:tcBorders>
              <w:top w:val="nil"/>
              <w:left w:val="nil"/>
              <w:bottom w:val="nil"/>
              <w:right w:val="nil"/>
            </w:tcBorders>
            <w:shd w:val="clear" w:color="auto" w:fill="auto"/>
            <w:noWrap/>
            <w:vAlign w:val="bottom"/>
            <w:hideMark/>
          </w:tcPr>
          <w:p w:rsidR="00F5347D" w:rsidRDefault="00F5347D">
            <w:pPr>
              <w:rPr>
                <w:sz w:val="20"/>
                <w:szCs w:val="20"/>
              </w:rPr>
            </w:pPr>
          </w:p>
        </w:tc>
        <w:tc>
          <w:tcPr>
            <w:tcW w:w="841" w:type="dxa"/>
            <w:tcBorders>
              <w:top w:val="nil"/>
              <w:left w:val="nil"/>
              <w:bottom w:val="nil"/>
              <w:right w:val="nil"/>
            </w:tcBorders>
            <w:shd w:val="clear" w:color="auto" w:fill="auto"/>
            <w:noWrap/>
            <w:vAlign w:val="bottom"/>
            <w:hideMark/>
          </w:tcPr>
          <w:p w:rsidR="00F5347D" w:rsidRDefault="00F5347D">
            <w:pPr>
              <w:rPr>
                <w:sz w:val="20"/>
                <w:szCs w:val="20"/>
              </w:rPr>
            </w:pPr>
          </w:p>
        </w:tc>
        <w:tc>
          <w:tcPr>
            <w:tcW w:w="1140" w:type="dxa"/>
            <w:tcBorders>
              <w:top w:val="nil"/>
              <w:left w:val="nil"/>
              <w:bottom w:val="nil"/>
              <w:right w:val="nil"/>
            </w:tcBorders>
            <w:shd w:val="clear" w:color="auto" w:fill="auto"/>
            <w:noWrap/>
            <w:vAlign w:val="bottom"/>
            <w:hideMark/>
          </w:tcPr>
          <w:p w:rsidR="00F5347D" w:rsidRDefault="00F5347D">
            <w:pPr>
              <w:rPr>
                <w:sz w:val="20"/>
                <w:szCs w:val="20"/>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Unused carryforward</w:t>
            </w:r>
          </w:p>
        </w:tc>
        <w:tc>
          <w:tcPr>
            <w:tcW w:w="290"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480000</w:t>
            </w:r>
          </w:p>
        </w:tc>
        <w:tc>
          <w:tcPr>
            <w:tcW w:w="1140"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Enacted future tax rate</w:t>
            </w:r>
          </w:p>
        </w:tc>
        <w:tc>
          <w:tcPr>
            <w:tcW w:w="290"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u w:val="single"/>
              </w:rPr>
            </w:pPr>
            <w:r>
              <w:rPr>
                <w:color w:val="000000"/>
                <w:u w:val="single"/>
              </w:rPr>
              <w:t>40%</w:t>
            </w:r>
          </w:p>
        </w:tc>
        <w:tc>
          <w:tcPr>
            <w:tcW w:w="1140" w:type="dxa"/>
            <w:tcBorders>
              <w:top w:val="nil"/>
              <w:left w:val="nil"/>
              <w:bottom w:val="nil"/>
              <w:right w:val="nil"/>
            </w:tcBorders>
            <w:shd w:val="clear" w:color="auto" w:fill="auto"/>
            <w:noWrap/>
            <w:vAlign w:val="bottom"/>
            <w:hideMark/>
          </w:tcPr>
          <w:p w:rsidR="00F5347D" w:rsidRDefault="00F5347D">
            <w:pPr>
              <w:jc w:val="right"/>
              <w:rPr>
                <w:color w:val="000000"/>
                <w:u w:val="single"/>
              </w:rPr>
            </w:pPr>
          </w:p>
        </w:tc>
        <w:tc>
          <w:tcPr>
            <w:tcW w:w="719" w:type="dxa"/>
            <w:tcBorders>
              <w:top w:val="nil"/>
              <w:left w:val="nil"/>
              <w:bottom w:val="nil"/>
              <w:right w:val="nil"/>
            </w:tcBorders>
            <w:shd w:val="clear" w:color="auto" w:fill="auto"/>
            <w:noWrap/>
            <w:vAlign w:val="bottom"/>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r w:rsidR="00F5347D" w:rsidTr="00F5347D">
        <w:trPr>
          <w:trHeight w:val="219"/>
        </w:trPr>
        <w:tc>
          <w:tcPr>
            <w:tcW w:w="990" w:type="dxa"/>
            <w:tcBorders>
              <w:top w:val="nil"/>
              <w:left w:val="nil"/>
              <w:bottom w:val="nil"/>
              <w:right w:val="nil"/>
            </w:tcBorders>
            <w:shd w:val="clear" w:color="auto" w:fill="auto"/>
            <w:noWrap/>
            <w:vAlign w:val="bottom"/>
            <w:hideMark/>
          </w:tcPr>
          <w:p w:rsidR="00F5347D" w:rsidRDefault="00F5347D">
            <w:pPr>
              <w:rPr>
                <w:sz w:val="20"/>
                <w:szCs w:val="20"/>
              </w:rPr>
            </w:pPr>
          </w:p>
        </w:tc>
        <w:tc>
          <w:tcPr>
            <w:tcW w:w="2339" w:type="dxa"/>
            <w:tcBorders>
              <w:top w:val="nil"/>
              <w:left w:val="nil"/>
              <w:bottom w:val="nil"/>
              <w:right w:val="nil"/>
            </w:tcBorders>
            <w:shd w:val="clear" w:color="auto" w:fill="auto"/>
            <w:noWrap/>
            <w:vAlign w:val="center"/>
            <w:hideMark/>
          </w:tcPr>
          <w:p w:rsidR="00F5347D" w:rsidRDefault="00F5347D">
            <w:pPr>
              <w:jc w:val="right"/>
              <w:rPr>
                <w:color w:val="000000"/>
              </w:rPr>
            </w:pPr>
            <w:r>
              <w:rPr>
                <w:color w:val="000000"/>
              </w:rPr>
              <w:t>Deferred tax</w:t>
            </w:r>
          </w:p>
        </w:tc>
        <w:tc>
          <w:tcPr>
            <w:tcW w:w="290" w:type="dxa"/>
            <w:tcBorders>
              <w:top w:val="nil"/>
              <w:left w:val="nil"/>
              <w:bottom w:val="nil"/>
              <w:right w:val="nil"/>
            </w:tcBorders>
            <w:shd w:val="clear" w:color="auto" w:fill="auto"/>
            <w:noWrap/>
            <w:vAlign w:val="bottom"/>
            <w:hideMark/>
          </w:tcPr>
          <w:p w:rsidR="00F5347D" w:rsidRDefault="00F5347D">
            <w:pPr>
              <w:jc w:val="right"/>
              <w:rPr>
                <w:color w:val="000000"/>
              </w:rPr>
            </w:pPr>
          </w:p>
        </w:tc>
        <w:tc>
          <w:tcPr>
            <w:tcW w:w="841" w:type="dxa"/>
            <w:tcBorders>
              <w:top w:val="nil"/>
              <w:left w:val="nil"/>
              <w:bottom w:val="nil"/>
              <w:right w:val="nil"/>
            </w:tcBorders>
            <w:shd w:val="clear" w:color="auto" w:fill="auto"/>
            <w:noWrap/>
            <w:vAlign w:val="center"/>
            <w:hideMark/>
          </w:tcPr>
          <w:p w:rsidR="00F5347D" w:rsidRDefault="00F5347D">
            <w:pPr>
              <w:jc w:val="right"/>
              <w:rPr>
                <w:color w:val="000000"/>
                <w:u w:val="double"/>
              </w:rPr>
            </w:pPr>
            <w:r>
              <w:rPr>
                <w:color w:val="000000"/>
                <w:u w:val="double"/>
              </w:rPr>
              <w:t>192000</w:t>
            </w:r>
          </w:p>
        </w:tc>
        <w:tc>
          <w:tcPr>
            <w:tcW w:w="1140" w:type="dxa"/>
            <w:tcBorders>
              <w:top w:val="nil"/>
              <w:left w:val="nil"/>
              <w:bottom w:val="nil"/>
              <w:right w:val="nil"/>
            </w:tcBorders>
            <w:shd w:val="clear" w:color="auto" w:fill="auto"/>
            <w:noWrap/>
            <w:vAlign w:val="bottom"/>
            <w:hideMark/>
          </w:tcPr>
          <w:p w:rsidR="00F5347D" w:rsidRDefault="00F5347D">
            <w:pPr>
              <w:jc w:val="right"/>
              <w:rPr>
                <w:color w:val="000000"/>
                <w:u w:val="double"/>
              </w:rPr>
            </w:pPr>
          </w:p>
        </w:tc>
        <w:tc>
          <w:tcPr>
            <w:tcW w:w="719" w:type="dxa"/>
            <w:tcBorders>
              <w:top w:val="nil"/>
              <w:left w:val="nil"/>
              <w:bottom w:val="nil"/>
              <w:right w:val="nil"/>
            </w:tcBorders>
            <w:shd w:val="clear" w:color="auto" w:fill="auto"/>
            <w:noWrap/>
            <w:vAlign w:val="center"/>
            <w:hideMark/>
          </w:tcPr>
          <w:p w:rsidR="00F5347D" w:rsidRDefault="00F5347D">
            <w:pPr>
              <w:rPr>
                <w:sz w:val="20"/>
                <w:szCs w:val="20"/>
              </w:rPr>
            </w:pPr>
          </w:p>
        </w:tc>
        <w:tc>
          <w:tcPr>
            <w:tcW w:w="799" w:type="dxa"/>
            <w:tcBorders>
              <w:top w:val="nil"/>
              <w:left w:val="nil"/>
              <w:bottom w:val="nil"/>
              <w:right w:val="nil"/>
            </w:tcBorders>
            <w:shd w:val="clear" w:color="auto" w:fill="auto"/>
            <w:noWrap/>
            <w:vAlign w:val="bottom"/>
            <w:hideMark/>
          </w:tcPr>
          <w:p w:rsidR="00F5347D" w:rsidRDefault="00F5347D">
            <w:pPr>
              <w:rPr>
                <w:sz w:val="20"/>
                <w:szCs w:val="20"/>
              </w:rPr>
            </w:pPr>
          </w:p>
        </w:tc>
        <w:tc>
          <w:tcPr>
            <w:tcW w:w="1004" w:type="dxa"/>
            <w:tcBorders>
              <w:top w:val="nil"/>
              <w:left w:val="nil"/>
              <w:bottom w:val="nil"/>
              <w:right w:val="nil"/>
            </w:tcBorders>
            <w:shd w:val="clear" w:color="auto" w:fill="auto"/>
            <w:noWrap/>
            <w:vAlign w:val="bottom"/>
            <w:hideMark/>
          </w:tcPr>
          <w:p w:rsidR="00F5347D" w:rsidRDefault="00F5347D">
            <w:pPr>
              <w:rPr>
                <w:sz w:val="20"/>
                <w:szCs w:val="20"/>
              </w:rPr>
            </w:pPr>
          </w:p>
        </w:tc>
        <w:tc>
          <w:tcPr>
            <w:tcW w:w="1425" w:type="dxa"/>
            <w:tcBorders>
              <w:top w:val="nil"/>
              <w:left w:val="nil"/>
              <w:bottom w:val="nil"/>
              <w:right w:val="nil"/>
            </w:tcBorders>
            <w:shd w:val="clear" w:color="auto" w:fill="auto"/>
            <w:noWrap/>
            <w:vAlign w:val="bottom"/>
            <w:hideMark/>
          </w:tcPr>
          <w:p w:rsidR="00F5347D" w:rsidRDefault="00F5347D">
            <w:pPr>
              <w:rPr>
                <w:sz w:val="20"/>
                <w:szCs w:val="20"/>
              </w:rPr>
            </w:pPr>
          </w:p>
        </w:tc>
      </w:tr>
    </w:tbl>
    <w:p w:rsidR="003736F1" w:rsidRDefault="003736F1" w:rsidP="007506CC">
      <w:pPr>
        <w:pStyle w:val="NormalWeb"/>
        <w:spacing w:before="0" w:beforeAutospacing="0" w:after="0" w:afterAutospacing="0"/>
        <w:rPr>
          <w:b/>
        </w:rPr>
      </w:pPr>
    </w:p>
    <w:tbl>
      <w:tblPr>
        <w:tblW w:w="9229" w:type="dxa"/>
        <w:tblInd w:w="113" w:type="dxa"/>
        <w:tblLook w:val="04A0" w:firstRow="1" w:lastRow="0" w:firstColumn="1" w:lastColumn="0" w:noHBand="0" w:noVBand="1"/>
      </w:tblPr>
      <w:tblGrid>
        <w:gridCol w:w="1298"/>
        <w:gridCol w:w="4495"/>
        <w:gridCol w:w="340"/>
        <w:gridCol w:w="960"/>
        <w:gridCol w:w="1140"/>
        <w:gridCol w:w="996"/>
      </w:tblGrid>
      <w:tr w:rsidR="00F5347D" w:rsidTr="00F5347D">
        <w:trPr>
          <w:trHeight w:val="315"/>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47D" w:rsidRDefault="00F5347D">
            <w:pPr>
              <w:jc w:val="center"/>
              <w:rPr>
                <w:rFonts w:ascii="Calibri" w:hAnsi="Calibri"/>
                <w:b/>
                <w:bCs/>
                <w:color w:val="000000"/>
                <w:sz w:val="22"/>
                <w:szCs w:val="22"/>
              </w:rPr>
            </w:pPr>
            <w:r>
              <w:rPr>
                <w:rFonts w:ascii="Calibri" w:hAnsi="Calibri"/>
                <w:b/>
                <w:bCs/>
                <w:color w:val="000000"/>
                <w:sz w:val="22"/>
                <w:szCs w:val="22"/>
              </w:rPr>
              <w:t>JE</w:t>
            </w:r>
          </w:p>
        </w:tc>
        <w:tc>
          <w:tcPr>
            <w:tcW w:w="4495" w:type="dxa"/>
            <w:tcBorders>
              <w:top w:val="single" w:sz="4" w:space="0" w:color="auto"/>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F5347D" w:rsidRDefault="00F5347D">
            <w:pPr>
              <w:jc w:val="center"/>
              <w:rPr>
                <w:b/>
                <w:bCs/>
                <w:color w:val="000000"/>
                <w:sz w:val="22"/>
                <w:szCs w:val="22"/>
              </w:rPr>
            </w:pPr>
            <w:r>
              <w:rPr>
                <w:b/>
                <w:bCs/>
                <w:color w:val="000000"/>
                <w:sz w:val="22"/>
                <w:szCs w:val="22"/>
              </w:rPr>
              <w:t>Dr</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5347D" w:rsidRDefault="00F5347D">
            <w:pPr>
              <w:jc w:val="center"/>
              <w:rPr>
                <w:b/>
                <w:bCs/>
                <w:color w:val="000000"/>
                <w:sz w:val="22"/>
                <w:szCs w:val="22"/>
              </w:rPr>
            </w:pPr>
            <w:r>
              <w:rPr>
                <w:b/>
                <w:bCs/>
                <w:color w:val="000000"/>
                <w:sz w:val="22"/>
                <w:szCs w:val="22"/>
              </w:rPr>
              <w:t>Cr</w:t>
            </w:r>
          </w:p>
        </w:tc>
      </w:tr>
      <w:tr w:rsidR="00F5347D" w:rsidTr="00F5347D">
        <w:trPr>
          <w:trHeight w:val="31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F5347D" w:rsidRDefault="00F5347D">
            <w:pPr>
              <w:jc w:val="center"/>
              <w:rPr>
                <w:rFonts w:ascii="Calibri" w:hAnsi="Calibri"/>
                <w:b/>
                <w:bCs/>
                <w:color w:val="000000"/>
                <w:sz w:val="22"/>
                <w:szCs w:val="22"/>
              </w:rPr>
            </w:pPr>
            <w:r>
              <w:rPr>
                <w:rFonts w:ascii="Calibri" w:hAnsi="Calibri"/>
                <w:b/>
                <w:bCs/>
                <w:color w:val="000000"/>
                <w:sz w:val="22"/>
                <w:szCs w:val="22"/>
              </w:rPr>
              <w:t>12/31/2017</w:t>
            </w:r>
          </w:p>
        </w:tc>
        <w:tc>
          <w:tcPr>
            <w:tcW w:w="4495"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Income tax refund receivable</w:t>
            </w:r>
          </w:p>
        </w:tc>
        <w:tc>
          <w:tcPr>
            <w:tcW w:w="340"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1140" w:type="dxa"/>
            <w:tcBorders>
              <w:top w:val="nil"/>
              <w:left w:val="nil"/>
              <w:bottom w:val="single" w:sz="4" w:space="0" w:color="auto"/>
              <w:right w:val="single" w:sz="4" w:space="0" w:color="auto"/>
            </w:tcBorders>
            <w:shd w:val="clear" w:color="auto" w:fill="auto"/>
            <w:noWrap/>
            <w:vAlign w:val="center"/>
            <w:hideMark/>
          </w:tcPr>
          <w:p w:rsidR="00F5347D" w:rsidRDefault="00F5347D">
            <w:pPr>
              <w:jc w:val="right"/>
              <w:rPr>
                <w:color w:val="000000"/>
              </w:rPr>
            </w:pPr>
            <w:r>
              <w:rPr>
                <w:color w:val="000000"/>
              </w:rPr>
              <w:t>288,000</w:t>
            </w:r>
          </w:p>
        </w:tc>
        <w:tc>
          <w:tcPr>
            <w:tcW w:w="996"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r>
      <w:tr w:rsidR="00F5347D" w:rsidTr="00F5347D">
        <w:trPr>
          <w:trHeight w:val="31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F5347D" w:rsidRDefault="00F5347D">
            <w:pPr>
              <w:rPr>
                <w:rFonts w:ascii="Calibri" w:hAnsi="Calibri"/>
                <w:color w:val="000000"/>
                <w:sz w:val="22"/>
                <w:szCs w:val="22"/>
              </w:rPr>
            </w:pPr>
            <w:r>
              <w:rPr>
                <w:rFonts w:ascii="Calibri" w:hAnsi="Calibri"/>
                <w:color w:val="000000"/>
                <w:sz w:val="22"/>
                <w:szCs w:val="22"/>
              </w:rPr>
              <w:t> </w:t>
            </w:r>
          </w:p>
        </w:tc>
        <w:tc>
          <w:tcPr>
            <w:tcW w:w="4495"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xml:space="preserve">       Income tax expense(carryback benefit)</w:t>
            </w:r>
          </w:p>
        </w:tc>
        <w:tc>
          <w:tcPr>
            <w:tcW w:w="340"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1140"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996" w:type="dxa"/>
            <w:tcBorders>
              <w:top w:val="nil"/>
              <w:left w:val="nil"/>
              <w:bottom w:val="single" w:sz="4" w:space="0" w:color="auto"/>
              <w:right w:val="single" w:sz="4" w:space="0" w:color="auto"/>
            </w:tcBorders>
            <w:shd w:val="clear" w:color="auto" w:fill="auto"/>
            <w:noWrap/>
            <w:vAlign w:val="center"/>
            <w:hideMark/>
          </w:tcPr>
          <w:p w:rsidR="00F5347D" w:rsidRDefault="00F5347D">
            <w:pPr>
              <w:jc w:val="right"/>
              <w:rPr>
                <w:color w:val="000000"/>
              </w:rPr>
            </w:pPr>
            <w:r>
              <w:rPr>
                <w:color w:val="000000"/>
              </w:rPr>
              <w:t>288,000</w:t>
            </w:r>
          </w:p>
        </w:tc>
      </w:tr>
      <w:tr w:rsidR="00F5347D" w:rsidTr="00F5347D">
        <w:trPr>
          <w:trHeight w:val="31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F5347D" w:rsidRDefault="00F5347D">
            <w:pPr>
              <w:jc w:val="center"/>
              <w:rPr>
                <w:rFonts w:ascii="Calibri" w:hAnsi="Calibri"/>
                <w:b/>
                <w:bCs/>
                <w:color w:val="000000"/>
                <w:sz w:val="22"/>
                <w:szCs w:val="22"/>
              </w:rPr>
            </w:pPr>
            <w:r>
              <w:rPr>
                <w:rFonts w:ascii="Calibri" w:hAnsi="Calibri"/>
                <w:b/>
                <w:bCs/>
                <w:color w:val="000000"/>
                <w:sz w:val="22"/>
                <w:szCs w:val="22"/>
              </w:rPr>
              <w:t>12/31/2017</w:t>
            </w:r>
          </w:p>
        </w:tc>
        <w:tc>
          <w:tcPr>
            <w:tcW w:w="4495"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Deferred tax asset</w:t>
            </w:r>
          </w:p>
        </w:tc>
        <w:tc>
          <w:tcPr>
            <w:tcW w:w="340"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1140" w:type="dxa"/>
            <w:tcBorders>
              <w:top w:val="nil"/>
              <w:left w:val="nil"/>
              <w:bottom w:val="single" w:sz="4" w:space="0" w:color="auto"/>
              <w:right w:val="single" w:sz="4" w:space="0" w:color="auto"/>
            </w:tcBorders>
            <w:shd w:val="clear" w:color="auto" w:fill="auto"/>
            <w:noWrap/>
            <w:vAlign w:val="center"/>
            <w:hideMark/>
          </w:tcPr>
          <w:p w:rsidR="00F5347D" w:rsidRDefault="00F5347D">
            <w:pPr>
              <w:jc w:val="right"/>
              <w:rPr>
                <w:color w:val="000000"/>
              </w:rPr>
            </w:pPr>
            <w:r>
              <w:rPr>
                <w:color w:val="000000"/>
              </w:rPr>
              <w:t>192,000</w:t>
            </w:r>
          </w:p>
        </w:tc>
        <w:tc>
          <w:tcPr>
            <w:tcW w:w="996"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r>
      <w:tr w:rsidR="00F5347D" w:rsidTr="00F5347D">
        <w:trPr>
          <w:trHeight w:val="31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F5347D" w:rsidRDefault="00F5347D">
            <w:pPr>
              <w:rPr>
                <w:rFonts w:ascii="Calibri" w:hAnsi="Calibri"/>
                <w:color w:val="000000"/>
                <w:sz w:val="22"/>
                <w:szCs w:val="22"/>
              </w:rPr>
            </w:pPr>
            <w:r>
              <w:rPr>
                <w:rFonts w:ascii="Calibri" w:hAnsi="Calibri"/>
                <w:color w:val="000000"/>
                <w:sz w:val="22"/>
                <w:szCs w:val="22"/>
              </w:rPr>
              <w:t> </w:t>
            </w:r>
          </w:p>
        </w:tc>
        <w:tc>
          <w:tcPr>
            <w:tcW w:w="4495"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xml:space="preserve">       Income tax expense(carryforward </w:t>
            </w:r>
            <w:r>
              <w:rPr>
                <w:color w:val="000000"/>
              </w:rPr>
              <w:t xml:space="preserve">   </w:t>
            </w:r>
            <w:r>
              <w:rPr>
                <w:color w:val="000000"/>
              </w:rPr>
              <w:t>benefit)</w:t>
            </w:r>
          </w:p>
        </w:tc>
        <w:tc>
          <w:tcPr>
            <w:tcW w:w="340" w:type="dxa"/>
            <w:tcBorders>
              <w:top w:val="nil"/>
              <w:left w:val="nil"/>
              <w:bottom w:val="single" w:sz="4" w:space="0" w:color="auto"/>
              <w:right w:val="single" w:sz="4" w:space="0" w:color="auto"/>
            </w:tcBorders>
            <w:shd w:val="clear" w:color="auto" w:fill="auto"/>
            <w:noWrap/>
            <w:vAlign w:val="center"/>
            <w:hideMark/>
          </w:tcPr>
          <w:p w:rsidR="00F5347D" w:rsidRDefault="00F5347D">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F5347D" w:rsidRDefault="00F5347D">
            <w:pPr>
              <w:rPr>
                <w:color w:val="000000"/>
                <w:sz w:val="22"/>
                <w:szCs w:val="22"/>
              </w:rPr>
            </w:pPr>
            <w:r>
              <w:rPr>
                <w:color w:val="000000"/>
                <w:sz w:val="22"/>
                <w:szCs w:val="22"/>
              </w:rPr>
              <w:t> </w:t>
            </w:r>
          </w:p>
        </w:tc>
        <w:tc>
          <w:tcPr>
            <w:tcW w:w="996" w:type="dxa"/>
            <w:tcBorders>
              <w:top w:val="nil"/>
              <w:left w:val="nil"/>
              <w:bottom w:val="single" w:sz="4" w:space="0" w:color="auto"/>
              <w:right w:val="single" w:sz="4" w:space="0" w:color="auto"/>
            </w:tcBorders>
            <w:shd w:val="clear" w:color="auto" w:fill="auto"/>
            <w:noWrap/>
            <w:vAlign w:val="center"/>
            <w:hideMark/>
          </w:tcPr>
          <w:p w:rsidR="00F5347D" w:rsidRDefault="00F5347D">
            <w:pPr>
              <w:jc w:val="right"/>
              <w:rPr>
                <w:color w:val="000000"/>
              </w:rPr>
            </w:pPr>
            <w:r>
              <w:rPr>
                <w:color w:val="000000"/>
              </w:rPr>
              <w:t>192,000</w:t>
            </w:r>
          </w:p>
        </w:tc>
      </w:tr>
    </w:tbl>
    <w:p w:rsidR="007506CC" w:rsidRPr="007506CC" w:rsidRDefault="007506CC" w:rsidP="007506CC">
      <w:pPr>
        <w:pStyle w:val="NormalWeb"/>
        <w:spacing w:before="0" w:beforeAutospacing="0" w:after="0" w:afterAutospacing="0"/>
        <w:rPr>
          <w:b/>
        </w:rPr>
      </w:pPr>
      <w:r w:rsidRPr="007506CC">
        <w:rPr>
          <w:b/>
        </w:rPr>
        <w:lastRenderedPageBreak/>
        <w:t xml:space="preserve">Part B </w:t>
      </w:r>
    </w:p>
    <w:p w:rsidR="007506CC" w:rsidRPr="007506CC" w:rsidRDefault="007506CC" w:rsidP="007506CC">
      <w:r w:rsidRPr="007506CC">
        <w:t>The Matrix Company began operations as of the beginning</w:t>
      </w:r>
      <w:r w:rsidRPr="007506CC">
        <w:rPr>
          <w:b/>
        </w:rPr>
        <w:t xml:space="preserve"> </w:t>
      </w:r>
      <w:r w:rsidRPr="007506CC">
        <w:t xml:space="preserve">of 2015. </w:t>
      </w:r>
      <w:r w:rsidR="009F29E0" w:rsidRPr="007506CC">
        <w:t>During 2015</w:t>
      </w:r>
      <w:r w:rsidRPr="007506CC">
        <w:t>, Matrix reported GAAP (book) income before taxes of $789,500. For income tax purposes, depreciation expense was $150,000; for GAAP (book) purposes, depreciation expense was $74,000. Matrix accrued $900,000 of revenue for GAAP (book) purposes during 2015; $600,000 of the accrued revenue was taxable during 2015. Matrix earned interest of $79,800 from a municipal bond investment during 2015. Matrix’s marginal income tax rate is 40%. Matrix did not make any income tax payments during 2015.</w:t>
      </w:r>
    </w:p>
    <w:p w:rsidR="007506CC" w:rsidRDefault="007506CC" w:rsidP="007506CC">
      <w:pPr>
        <w:ind w:left="720" w:hanging="720"/>
        <w:rPr>
          <w:b/>
          <w:u w:val="single"/>
        </w:rPr>
      </w:pPr>
    </w:p>
    <w:p w:rsidR="007506CC" w:rsidRDefault="007506CC" w:rsidP="007506CC">
      <w:pPr>
        <w:pStyle w:val="ListParagraph"/>
        <w:numPr>
          <w:ilvl w:val="0"/>
          <w:numId w:val="20"/>
        </w:numPr>
      </w:pPr>
      <w:r w:rsidRPr="007506CC">
        <w:t>Determine Matrix’s taxable income for the year ended December 31, 2015.</w:t>
      </w:r>
    </w:p>
    <w:p w:rsidR="002D6627" w:rsidRDefault="002D6627" w:rsidP="002D6627">
      <w:pPr>
        <w:pStyle w:val="ListParagraph"/>
      </w:pPr>
    </w:p>
    <w:p w:rsidR="002D6627" w:rsidRDefault="002D6627" w:rsidP="002D6627">
      <w:pPr>
        <w:pStyle w:val="ListParagraph"/>
      </w:pPr>
    </w:p>
    <w:tbl>
      <w:tblPr>
        <w:tblW w:w="5668" w:type="dxa"/>
        <w:tblInd w:w="108" w:type="dxa"/>
        <w:tblLook w:val="04A0" w:firstRow="1" w:lastRow="0" w:firstColumn="1" w:lastColumn="0" w:noHBand="0" w:noVBand="1"/>
      </w:tblPr>
      <w:tblGrid>
        <w:gridCol w:w="1664"/>
        <w:gridCol w:w="1382"/>
        <w:gridCol w:w="1640"/>
        <w:gridCol w:w="1310"/>
      </w:tblGrid>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sz w:val="20"/>
                <w:szCs w:val="20"/>
              </w:rPr>
            </w:pPr>
          </w:p>
        </w:tc>
        <w:tc>
          <w:tcPr>
            <w:tcW w:w="1240"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BOOK(GAAP)</w:t>
            </w:r>
          </w:p>
        </w:tc>
        <w:tc>
          <w:tcPr>
            <w:tcW w:w="1640"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TAX</w:t>
            </w:r>
          </w:p>
        </w:tc>
        <w:tc>
          <w:tcPr>
            <w:tcW w:w="1124"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DIFFERENCE</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Revenue</w:t>
            </w:r>
          </w:p>
        </w:tc>
        <w:tc>
          <w:tcPr>
            <w:tcW w:w="12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900,000</w:t>
            </w:r>
          </w:p>
        </w:tc>
        <w:tc>
          <w:tcPr>
            <w:tcW w:w="16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600,000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300,000</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Less: Depreciation</w:t>
            </w:r>
          </w:p>
        </w:tc>
        <w:tc>
          <w:tcPr>
            <w:tcW w:w="12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u w:val="single"/>
              </w:rPr>
            </w:pPr>
            <w:r>
              <w:rPr>
                <w:rFonts w:ascii="Calibri" w:hAnsi="Calibri"/>
                <w:color w:val="000000"/>
                <w:sz w:val="22"/>
                <w:szCs w:val="22"/>
                <w:u w:val="single"/>
              </w:rPr>
              <w:t>74,000</w:t>
            </w:r>
          </w:p>
        </w:tc>
        <w:tc>
          <w:tcPr>
            <w:tcW w:w="16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u w:val="single"/>
              </w:rPr>
            </w:pPr>
            <w:r>
              <w:rPr>
                <w:rFonts w:ascii="Calibri" w:hAnsi="Calibri"/>
                <w:color w:val="000000"/>
                <w:sz w:val="22"/>
                <w:szCs w:val="22"/>
                <w:u w:val="single"/>
              </w:rPr>
              <w:t>150,000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u w:val="single"/>
              </w:rPr>
            </w:pPr>
            <w:r>
              <w:rPr>
                <w:rFonts w:ascii="Calibri" w:hAnsi="Calibri"/>
                <w:color w:val="000000"/>
                <w:sz w:val="22"/>
                <w:szCs w:val="22"/>
                <w:u w:val="single"/>
              </w:rPr>
              <w:t>-76,000</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u w:val="single"/>
              </w:rPr>
            </w:pPr>
          </w:p>
        </w:tc>
        <w:tc>
          <w:tcPr>
            <w:tcW w:w="12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6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124" w:type="dxa"/>
            <w:tcBorders>
              <w:top w:val="nil"/>
              <w:left w:val="nil"/>
              <w:bottom w:val="nil"/>
              <w:right w:val="nil"/>
            </w:tcBorders>
            <w:shd w:val="clear" w:color="auto" w:fill="auto"/>
            <w:noWrap/>
            <w:vAlign w:val="bottom"/>
            <w:hideMark/>
          </w:tcPr>
          <w:p w:rsidR="002D6627" w:rsidRDefault="002D6627">
            <w:pPr>
              <w:rPr>
                <w:sz w:val="20"/>
                <w:szCs w:val="20"/>
              </w:rPr>
            </w:pP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sz w:val="20"/>
                <w:szCs w:val="20"/>
              </w:rPr>
            </w:pPr>
          </w:p>
        </w:tc>
        <w:tc>
          <w:tcPr>
            <w:tcW w:w="12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826,000</w:t>
            </w:r>
          </w:p>
        </w:tc>
        <w:tc>
          <w:tcPr>
            <w:tcW w:w="16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450,000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376,000</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Tax Rate</w:t>
            </w:r>
          </w:p>
        </w:tc>
        <w:tc>
          <w:tcPr>
            <w:tcW w:w="1240" w:type="dxa"/>
            <w:tcBorders>
              <w:top w:val="nil"/>
              <w:left w:val="nil"/>
              <w:bottom w:val="single" w:sz="4" w:space="0" w:color="auto"/>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40%</w:t>
            </w:r>
          </w:p>
        </w:tc>
        <w:tc>
          <w:tcPr>
            <w:tcW w:w="1640" w:type="dxa"/>
            <w:tcBorders>
              <w:top w:val="nil"/>
              <w:left w:val="nil"/>
              <w:bottom w:val="single" w:sz="4" w:space="0" w:color="auto"/>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40%</w:t>
            </w:r>
          </w:p>
        </w:tc>
        <w:tc>
          <w:tcPr>
            <w:tcW w:w="1124" w:type="dxa"/>
            <w:tcBorders>
              <w:top w:val="nil"/>
              <w:left w:val="nil"/>
              <w:bottom w:val="single" w:sz="4" w:space="0" w:color="auto"/>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40%</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640"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180,000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150,400</w:t>
            </w: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6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124" w:type="dxa"/>
            <w:tcBorders>
              <w:top w:val="nil"/>
              <w:left w:val="nil"/>
              <w:bottom w:val="nil"/>
              <w:right w:val="nil"/>
            </w:tcBorders>
            <w:shd w:val="clear" w:color="auto" w:fill="auto"/>
            <w:noWrap/>
            <w:vAlign w:val="bottom"/>
            <w:hideMark/>
          </w:tcPr>
          <w:p w:rsidR="002D6627" w:rsidRDefault="002D6627">
            <w:pPr>
              <w:rPr>
                <w:sz w:val="20"/>
                <w:szCs w:val="20"/>
              </w:rPr>
            </w:pPr>
          </w:p>
        </w:tc>
      </w:tr>
      <w:tr w:rsidR="002D6627" w:rsidTr="002D6627">
        <w:trPr>
          <w:trHeight w:val="300"/>
        </w:trPr>
        <w:tc>
          <w:tcPr>
            <w:tcW w:w="1664"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Interest</w:t>
            </w:r>
          </w:p>
        </w:tc>
        <w:tc>
          <w:tcPr>
            <w:tcW w:w="1240"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p>
        </w:tc>
        <w:tc>
          <w:tcPr>
            <w:tcW w:w="1640" w:type="dxa"/>
            <w:tcBorders>
              <w:top w:val="nil"/>
              <w:left w:val="nil"/>
              <w:bottom w:val="single" w:sz="4" w:space="0" w:color="auto"/>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79,800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p>
        </w:tc>
      </w:tr>
      <w:tr w:rsidR="002D6627" w:rsidTr="002D6627">
        <w:trPr>
          <w:trHeight w:val="90"/>
        </w:trPr>
        <w:tc>
          <w:tcPr>
            <w:tcW w:w="1664" w:type="dxa"/>
            <w:tcBorders>
              <w:top w:val="nil"/>
              <w:left w:val="nil"/>
              <w:bottom w:val="nil"/>
              <w:right w:val="nil"/>
            </w:tcBorders>
            <w:shd w:val="clear" w:color="auto" w:fill="auto"/>
            <w:noWrap/>
            <w:vAlign w:val="bottom"/>
            <w:hideMark/>
          </w:tcPr>
          <w:p w:rsidR="002D6627" w:rsidRDefault="002D6627">
            <w:pPr>
              <w:rPr>
                <w:sz w:val="20"/>
                <w:szCs w:val="20"/>
              </w:rPr>
            </w:pPr>
          </w:p>
        </w:tc>
        <w:tc>
          <w:tcPr>
            <w:tcW w:w="12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640" w:type="dxa"/>
            <w:tcBorders>
              <w:top w:val="nil"/>
              <w:left w:val="nil"/>
              <w:bottom w:val="nil"/>
              <w:right w:val="nil"/>
            </w:tcBorders>
            <w:shd w:val="clear" w:color="auto" w:fill="auto"/>
            <w:noWrap/>
            <w:vAlign w:val="bottom"/>
            <w:hideMark/>
          </w:tcPr>
          <w:p w:rsidR="002D6627" w:rsidRDefault="002D6627">
            <w:pPr>
              <w:rPr>
                <w:sz w:val="20"/>
                <w:szCs w:val="20"/>
              </w:rPr>
            </w:pPr>
          </w:p>
        </w:tc>
        <w:tc>
          <w:tcPr>
            <w:tcW w:w="1124" w:type="dxa"/>
            <w:tcBorders>
              <w:top w:val="nil"/>
              <w:left w:val="nil"/>
              <w:bottom w:val="nil"/>
              <w:right w:val="nil"/>
            </w:tcBorders>
            <w:shd w:val="clear" w:color="auto" w:fill="auto"/>
            <w:noWrap/>
            <w:vAlign w:val="bottom"/>
            <w:hideMark/>
          </w:tcPr>
          <w:p w:rsidR="002D6627" w:rsidRDefault="002D6627">
            <w:pPr>
              <w:rPr>
                <w:sz w:val="20"/>
                <w:szCs w:val="20"/>
              </w:rPr>
            </w:pPr>
          </w:p>
        </w:tc>
      </w:tr>
      <w:tr w:rsidR="002D6627" w:rsidTr="002D6627">
        <w:trPr>
          <w:trHeight w:val="315"/>
        </w:trPr>
        <w:tc>
          <w:tcPr>
            <w:tcW w:w="2904" w:type="dxa"/>
            <w:gridSpan w:val="2"/>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Taxable Income</w:t>
            </w:r>
          </w:p>
        </w:tc>
        <w:tc>
          <w:tcPr>
            <w:tcW w:w="1640" w:type="dxa"/>
            <w:tcBorders>
              <w:top w:val="single" w:sz="4" w:space="0" w:color="auto"/>
              <w:left w:val="nil"/>
              <w:bottom w:val="double" w:sz="6" w:space="0" w:color="auto"/>
              <w:right w:val="nil"/>
            </w:tcBorders>
            <w:shd w:val="clear" w:color="auto" w:fill="auto"/>
            <w:noWrap/>
            <w:vAlign w:val="bottom"/>
            <w:hideMark/>
          </w:tcPr>
          <w:p w:rsidR="002D6627" w:rsidRDefault="002D6627">
            <w:pPr>
              <w:jc w:val="right"/>
              <w:rPr>
                <w:rFonts w:ascii="Calibri" w:hAnsi="Calibri"/>
                <w:color w:val="000000"/>
                <w:sz w:val="22"/>
                <w:szCs w:val="22"/>
              </w:rPr>
            </w:pPr>
            <w:r>
              <w:rPr>
                <w:rFonts w:ascii="Calibri" w:hAnsi="Calibri"/>
                <w:color w:val="000000"/>
                <w:sz w:val="22"/>
                <w:szCs w:val="22"/>
              </w:rPr>
              <w:t>259,800</w:t>
            </w:r>
          </w:p>
        </w:tc>
        <w:tc>
          <w:tcPr>
            <w:tcW w:w="1124" w:type="dxa"/>
            <w:tcBorders>
              <w:top w:val="nil"/>
              <w:left w:val="nil"/>
              <w:bottom w:val="nil"/>
              <w:right w:val="nil"/>
            </w:tcBorders>
            <w:shd w:val="clear" w:color="auto" w:fill="auto"/>
            <w:noWrap/>
            <w:vAlign w:val="bottom"/>
            <w:hideMark/>
          </w:tcPr>
          <w:p w:rsidR="002D6627" w:rsidRDefault="002D6627">
            <w:pPr>
              <w:jc w:val="right"/>
              <w:rPr>
                <w:rFonts w:ascii="Calibri" w:hAnsi="Calibri"/>
                <w:color w:val="000000"/>
                <w:sz w:val="22"/>
                <w:szCs w:val="22"/>
              </w:rPr>
            </w:pPr>
          </w:p>
        </w:tc>
      </w:tr>
    </w:tbl>
    <w:p w:rsidR="002D6627" w:rsidRDefault="002D6627" w:rsidP="002D6627">
      <w:pPr>
        <w:pStyle w:val="ListParagraph"/>
      </w:pPr>
    </w:p>
    <w:p w:rsidR="002D6627" w:rsidRPr="007506CC" w:rsidRDefault="002D6627" w:rsidP="002D6627">
      <w:pPr>
        <w:pStyle w:val="ListParagraph"/>
      </w:pPr>
    </w:p>
    <w:p w:rsidR="007506CC" w:rsidRPr="002D6627" w:rsidRDefault="007506CC" w:rsidP="007506CC">
      <w:pPr>
        <w:pStyle w:val="NormalWeb"/>
        <w:numPr>
          <w:ilvl w:val="0"/>
          <w:numId w:val="20"/>
        </w:numPr>
        <w:spacing w:before="0" w:beforeAutospacing="0" w:after="0" w:afterAutospacing="0"/>
        <w:rPr>
          <w:b/>
        </w:rPr>
      </w:pPr>
      <w:r w:rsidRPr="007506CC">
        <w:t>Prepare the 2015 year-end journal entry to record income tax expense.</w:t>
      </w:r>
    </w:p>
    <w:p w:rsidR="002D6627" w:rsidRDefault="002D6627" w:rsidP="002D6627">
      <w:pPr>
        <w:pStyle w:val="NormalWeb"/>
        <w:spacing w:before="0" w:beforeAutospacing="0" w:after="0" w:afterAutospacing="0"/>
      </w:pPr>
    </w:p>
    <w:p w:rsidR="002D6627" w:rsidRDefault="002D6627" w:rsidP="002D6627">
      <w:pPr>
        <w:pStyle w:val="NormalWeb"/>
        <w:spacing w:before="0" w:beforeAutospacing="0" w:after="0" w:afterAutospacing="0"/>
      </w:pPr>
    </w:p>
    <w:tbl>
      <w:tblPr>
        <w:tblW w:w="6940" w:type="dxa"/>
        <w:tblInd w:w="108" w:type="dxa"/>
        <w:tblLook w:val="04A0" w:firstRow="1" w:lastRow="0" w:firstColumn="1" w:lastColumn="0" w:noHBand="0" w:noVBand="1"/>
      </w:tblPr>
      <w:tblGrid>
        <w:gridCol w:w="1278"/>
        <w:gridCol w:w="2767"/>
        <w:gridCol w:w="276"/>
        <w:gridCol w:w="960"/>
        <w:gridCol w:w="996"/>
        <w:gridCol w:w="996"/>
      </w:tblGrid>
      <w:tr w:rsidR="002D6627" w:rsidTr="002D6627">
        <w:trPr>
          <w:trHeight w:val="300"/>
        </w:trPr>
        <w:tc>
          <w:tcPr>
            <w:tcW w:w="4060" w:type="dxa"/>
            <w:gridSpan w:val="3"/>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Proof: 259800+150400=410,200</w:t>
            </w:r>
          </w:p>
        </w:tc>
        <w:tc>
          <w:tcPr>
            <w:tcW w:w="960" w:type="dxa"/>
            <w:tcBorders>
              <w:top w:val="nil"/>
              <w:left w:val="nil"/>
              <w:bottom w:val="nil"/>
              <w:right w:val="nil"/>
            </w:tcBorders>
            <w:shd w:val="clear" w:color="auto" w:fill="auto"/>
            <w:noWrap/>
            <w:vAlign w:val="bottom"/>
            <w:hideMark/>
          </w:tcPr>
          <w:p w:rsidR="002D6627" w:rsidRDefault="002D662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2D6627" w:rsidRDefault="002D6627">
            <w:pPr>
              <w:rPr>
                <w:sz w:val="20"/>
                <w:szCs w:val="20"/>
              </w:rPr>
            </w:pPr>
          </w:p>
        </w:tc>
        <w:tc>
          <w:tcPr>
            <w:tcW w:w="960" w:type="dxa"/>
            <w:tcBorders>
              <w:top w:val="nil"/>
              <w:left w:val="nil"/>
              <w:bottom w:val="nil"/>
              <w:right w:val="nil"/>
            </w:tcBorders>
            <w:shd w:val="clear" w:color="auto" w:fill="auto"/>
            <w:noWrap/>
            <w:vAlign w:val="bottom"/>
            <w:hideMark/>
          </w:tcPr>
          <w:p w:rsidR="002D6627" w:rsidRDefault="002D6627">
            <w:pPr>
              <w:rPr>
                <w:sz w:val="20"/>
                <w:szCs w:val="20"/>
              </w:rPr>
            </w:pPr>
          </w:p>
        </w:tc>
      </w:tr>
      <w:tr w:rsidR="002D6627" w:rsidTr="002D6627">
        <w:trPr>
          <w:trHeight w:val="300"/>
        </w:trPr>
        <w:tc>
          <w:tcPr>
            <w:tcW w:w="1195" w:type="dxa"/>
            <w:tcBorders>
              <w:top w:val="nil"/>
              <w:left w:val="nil"/>
              <w:bottom w:val="nil"/>
              <w:right w:val="nil"/>
            </w:tcBorders>
            <w:shd w:val="clear" w:color="auto" w:fill="auto"/>
            <w:noWrap/>
            <w:vAlign w:val="bottom"/>
            <w:hideMark/>
          </w:tcPr>
          <w:p w:rsidR="002D6627" w:rsidRDefault="002D6627">
            <w:pPr>
              <w:rPr>
                <w:sz w:val="20"/>
                <w:szCs w:val="20"/>
              </w:rPr>
            </w:pPr>
          </w:p>
        </w:tc>
        <w:tc>
          <w:tcPr>
            <w:tcW w:w="2767" w:type="dxa"/>
            <w:tcBorders>
              <w:top w:val="nil"/>
              <w:left w:val="nil"/>
              <w:bottom w:val="nil"/>
              <w:right w:val="nil"/>
            </w:tcBorders>
            <w:shd w:val="clear" w:color="auto" w:fill="auto"/>
            <w:noWrap/>
            <w:vAlign w:val="bottom"/>
            <w:hideMark/>
          </w:tcPr>
          <w:p w:rsidR="002D6627" w:rsidRDefault="002D6627">
            <w:pPr>
              <w:rPr>
                <w:sz w:val="20"/>
                <w:szCs w:val="20"/>
              </w:rPr>
            </w:pPr>
          </w:p>
        </w:tc>
        <w:tc>
          <w:tcPr>
            <w:tcW w:w="98" w:type="dxa"/>
            <w:tcBorders>
              <w:top w:val="nil"/>
              <w:left w:val="nil"/>
              <w:bottom w:val="nil"/>
              <w:right w:val="nil"/>
            </w:tcBorders>
            <w:shd w:val="clear" w:color="auto" w:fill="auto"/>
            <w:noWrap/>
            <w:vAlign w:val="bottom"/>
            <w:hideMark/>
          </w:tcPr>
          <w:p w:rsidR="002D6627" w:rsidRDefault="002D6627">
            <w:pPr>
              <w:rPr>
                <w:sz w:val="20"/>
                <w:szCs w:val="20"/>
              </w:rPr>
            </w:pPr>
          </w:p>
        </w:tc>
        <w:tc>
          <w:tcPr>
            <w:tcW w:w="960" w:type="dxa"/>
            <w:tcBorders>
              <w:top w:val="nil"/>
              <w:left w:val="nil"/>
              <w:bottom w:val="nil"/>
              <w:right w:val="nil"/>
            </w:tcBorders>
            <w:shd w:val="clear" w:color="auto" w:fill="auto"/>
            <w:noWrap/>
            <w:vAlign w:val="bottom"/>
            <w:hideMark/>
          </w:tcPr>
          <w:p w:rsidR="002D6627" w:rsidRDefault="002D6627">
            <w:pPr>
              <w:rPr>
                <w:sz w:val="20"/>
                <w:szCs w:val="20"/>
              </w:rPr>
            </w:pPr>
          </w:p>
        </w:tc>
        <w:tc>
          <w:tcPr>
            <w:tcW w:w="960" w:type="dxa"/>
            <w:tcBorders>
              <w:top w:val="nil"/>
              <w:left w:val="nil"/>
              <w:bottom w:val="nil"/>
              <w:right w:val="nil"/>
            </w:tcBorders>
            <w:shd w:val="clear" w:color="auto" w:fill="auto"/>
            <w:noWrap/>
            <w:vAlign w:val="bottom"/>
            <w:hideMark/>
          </w:tcPr>
          <w:p w:rsidR="002D6627" w:rsidRDefault="002D6627">
            <w:pPr>
              <w:rPr>
                <w:sz w:val="20"/>
                <w:szCs w:val="20"/>
              </w:rPr>
            </w:pPr>
          </w:p>
        </w:tc>
        <w:tc>
          <w:tcPr>
            <w:tcW w:w="960" w:type="dxa"/>
            <w:tcBorders>
              <w:top w:val="nil"/>
              <w:left w:val="nil"/>
              <w:bottom w:val="nil"/>
              <w:right w:val="nil"/>
            </w:tcBorders>
            <w:shd w:val="clear" w:color="auto" w:fill="auto"/>
            <w:noWrap/>
            <w:vAlign w:val="bottom"/>
            <w:hideMark/>
          </w:tcPr>
          <w:p w:rsidR="002D6627" w:rsidRDefault="002D6627">
            <w:pPr>
              <w:rPr>
                <w:sz w:val="20"/>
                <w:szCs w:val="20"/>
              </w:rPr>
            </w:pPr>
          </w:p>
        </w:tc>
      </w:tr>
      <w:tr w:rsidR="002D6627" w:rsidTr="002D6627">
        <w:trPr>
          <w:trHeight w:val="315"/>
        </w:trPr>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627" w:rsidRDefault="002D6627">
            <w:pPr>
              <w:jc w:val="center"/>
              <w:rPr>
                <w:rFonts w:ascii="Calibri" w:hAnsi="Calibri"/>
                <w:color w:val="000000"/>
                <w:sz w:val="22"/>
                <w:szCs w:val="22"/>
              </w:rPr>
            </w:pPr>
            <w:r>
              <w:rPr>
                <w:rFonts w:ascii="Calibri" w:hAnsi="Calibri"/>
                <w:color w:val="000000"/>
                <w:sz w:val="22"/>
                <w:szCs w:val="22"/>
              </w:rPr>
              <w:t>JE</w:t>
            </w:r>
          </w:p>
        </w:tc>
        <w:tc>
          <w:tcPr>
            <w:tcW w:w="2767" w:type="dxa"/>
            <w:tcBorders>
              <w:top w:val="single" w:sz="4" w:space="0" w:color="auto"/>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8" w:type="dxa"/>
            <w:tcBorders>
              <w:top w:val="single" w:sz="4" w:space="0" w:color="auto"/>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6627" w:rsidRDefault="002D6627">
            <w:pPr>
              <w:jc w:val="center"/>
              <w:rPr>
                <w:color w:val="000000"/>
                <w:sz w:val="22"/>
                <w:szCs w:val="22"/>
              </w:rPr>
            </w:pPr>
            <w:r>
              <w:rPr>
                <w:color w:val="000000"/>
                <w:sz w:val="22"/>
                <w:szCs w:val="22"/>
              </w:rPr>
              <w:t>Dr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6627" w:rsidRDefault="002D6627">
            <w:pPr>
              <w:jc w:val="center"/>
              <w:rPr>
                <w:color w:val="000000"/>
                <w:sz w:val="22"/>
                <w:szCs w:val="22"/>
              </w:rPr>
            </w:pPr>
            <w:r>
              <w:rPr>
                <w:color w:val="000000"/>
                <w:sz w:val="22"/>
                <w:szCs w:val="22"/>
              </w:rPr>
              <w:t>Cr</w:t>
            </w:r>
          </w:p>
        </w:tc>
      </w:tr>
      <w:tr w:rsidR="002D6627" w:rsidTr="002D6627">
        <w:trPr>
          <w:trHeight w:val="31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2D6627" w:rsidRDefault="002D6627">
            <w:pPr>
              <w:jc w:val="center"/>
              <w:rPr>
                <w:rFonts w:ascii="Calibri" w:hAnsi="Calibri"/>
                <w:color w:val="000000"/>
                <w:sz w:val="22"/>
                <w:szCs w:val="22"/>
              </w:rPr>
            </w:pPr>
            <w:r>
              <w:rPr>
                <w:rFonts w:ascii="Calibri" w:hAnsi="Calibri"/>
                <w:color w:val="000000"/>
                <w:sz w:val="22"/>
                <w:szCs w:val="22"/>
              </w:rPr>
              <w:t>12/31/2015</w:t>
            </w:r>
          </w:p>
        </w:tc>
        <w:tc>
          <w:tcPr>
            <w:tcW w:w="2767"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Income tax provision</w:t>
            </w:r>
          </w:p>
        </w:tc>
        <w:tc>
          <w:tcPr>
            <w:tcW w:w="98" w:type="dxa"/>
            <w:tcBorders>
              <w:top w:val="nil"/>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jc w:val="right"/>
              <w:rPr>
                <w:color w:val="000000"/>
              </w:rPr>
            </w:pPr>
            <w:r>
              <w:rPr>
                <w:color w:val="000000"/>
              </w:rPr>
              <w:t>410,200</w:t>
            </w:r>
          </w:p>
        </w:tc>
        <w:tc>
          <w:tcPr>
            <w:tcW w:w="960" w:type="dxa"/>
            <w:tcBorders>
              <w:top w:val="nil"/>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r>
      <w:tr w:rsidR="002D6627" w:rsidTr="002D6627">
        <w:trPr>
          <w:trHeight w:val="315"/>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 </w:t>
            </w:r>
          </w:p>
        </w:tc>
        <w:tc>
          <w:tcPr>
            <w:tcW w:w="2767"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xml:space="preserve">       Deferred tax </w:t>
            </w:r>
            <w:r>
              <w:rPr>
                <w:color w:val="000000"/>
              </w:rPr>
              <w:t>liability</w:t>
            </w:r>
          </w:p>
        </w:tc>
        <w:tc>
          <w:tcPr>
            <w:tcW w:w="98"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jc w:val="right"/>
              <w:rPr>
                <w:color w:val="000000"/>
              </w:rPr>
            </w:pPr>
            <w:r>
              <w:rPr>
                <w:color w:val="000000"/>
              </w:rPr>
              <w:t>150,400</w:t>
            </w:r>
          </w:p>
        </w:tc>
      </w:tr>
      <w:tr w:rsidR="002D6627" w:rsidTr="002D6627">
        <w:trPr>
          <w:trHeight w:val="315"/>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rsidR="002D6627" w:rsidRDefault="002D6627">
            <w:pPr>
              <w:rPr>
                <w:rFonts w:ascii="Calibri" w:hAnsi="Calibri"/>
                <w:color w:val="000000"/>
                <w:sz w:val="22"/>
                <w:szCs w:val="22"/>
              </w:rPr>
            </w:pPr>
            <w:r>
              <w:rPr>
                <w:rFonts w:ascii="Calibri" w:hAnsi="Calibri"/>
                <w:color w:val="000000"/>
                <w:sz w:val="22"/>
                <w:szCs w:val="22"/>
              </w:rPr>
              <w:t> </w:t>
            </w:r>
          </w:p>
        </w:tc>
        <w:tc>
          <w:tcPr>
            <w:tcW w:w="2767"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xml:space="preserve">       Income tax payable</w:t>
            </w:r>
          </w:p>
        </w:tc>
        <w:tc>
          <w:tcPr>
            <w:tcW w:w="98" w:type="dxa"/>
            <w:tcBorders>
              <w:top w:val="nil"/>
              <w:left w:val="nil"/>
              <w:bottom w:val="single" w:sz="4" w:space="0" w:color="auto"/>
              <w:right w:val="single" w:sz="4" w:space="0" w:color="auto"/>
            </w:tcBorders>
            <w:shd w:val="clear" w:color="auto" w:fill="auto"/>
            <w:noWrap/>
            <w:vAlign w:val="center"/>
            <w:hideMark/>
          </w:tcPr>
          <w:p w:rsidR="002D6627" w:rsidRDefault="002D662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D6627" w:rsidRDefault="002D6627">
            <w:pP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D6627" w:rsidRDefault="002D6627">
            <w:pPr>
              <w:jc w:val="right"/>
              <w:rPr>
                <w:color w:val="000000"/>
              </w:rPr>
            </w:pPr>
            <w:r>
              <w:rPr>
                <w:color w:val="000000"/>
              </w:rPr>
              <w:t>259,800</w:t>
            </w:r>
          </w:p>
        </w:tc>
      </w:tr>
    </w:tbl>
    <w:p w:rsidR="002D6627" w:rsidRPr="007506CC" w:rsidRDefault="002D6627" w:rsidP="002D6627">
      <w:pPr>
        <w:pStyle w:val="NormalWeb"/>
        <w:spacing w:before="0" w:beforeAutospacing="0" w:after="0" w:afterAutospacing="0"/>
        <w:rPr>
          <w:b/>
        </w:rPr>
      </w:pPr>
    </w:p>
    <w:p w:rsidR="007506CC" w:rsidRPr="007506CC" w:rsidRDefault="007506CC" w:rsidP="007506CC">
      <w:pPr>
        <w:pStyle w:val="NormalWeb"/>
        <w:spacing w:before="0" w:beforeAutospacing="0" w:after="0" w:afterAutospacing="0"/>
      </w:pPr>
    </w:p>
    <w:p w:rsidR="007506CC" w:rsidRDefault="007506CC">
      <w:pPr>
        <w:rPr>
          <w:b/>
        </w:rPr>
      </w:pPr>
      <w:r>
        <w:rPr>
          <w:b/>
        </w:rPr>
        <w:br w:type="page"/>
      </w:r>
    </w:p>
    <w:p w:rsidR="009F29E0" w:rsidRDefault="007506CC" w:rsidP="009F29E0">
      <w:pPr>
        <w:pStyle w:val="NormalWeb"/>
        <w:spacing w:before="0" w:beforeAutospacing="0" w:after="0" w:afterAutospacing="0"/>
        <w:rPr>
          <w:b/>
        </w:rPr>
      </w:pPr>
      <w:r w:rsidRPr="007506CC">
        <w:rPr>
          <w:b/>
        </w:rPr>
        <w:lastRenderedPageBreak/>
        <w:t xml:space="preserve">Part C </w:t>
      </w:r>
    </w:p>
    <w:p w:rsidR="007506CC" w:rsidRDefault="007506CC" w:rsidP="009F29E0">
      <w:pPr>
        <w:pStyle w:val="NormalWeb"/>
        <w:spacing w:before="0" w:beforeAutospacing="0" w:after="0" w:afterAutospacing="0"/>
      </w:pPr>
      <w:bookmarkStart w:id="0" w:name="_GoBack"/>
      <w:bookmarkEnd w:id="0"/>
      <w:r w:rsidRPr="007506CC">
        <w:t>For each of the items below, determine whether the items are temporary differences or</w:t>
      </w:r>
      <w:r>
        <w:t xml:space="preserve"> </w:t>
      </w:r>
      <w:r w:rsidRPr="007506CC">
        <w:t>permanent differences. Also, for each temporary difference, you are required to determine</w:t>
      </w:r>
      <w:r>
        <w:t xml:space="preserve"> </w:t>
      </w:r>
      <w:r w:rsidRPr="007506CC">
        <w:t>whether a deferred tax asset or deferred tax liability is created by the temporary</w:t>
      </w:r>
      <w:r>
        <w:t xml:space="preserve"> </w:t>
      </w:r>
      <w:r w:rsidRPr="007506CC">
        <w:t>difference described. Assume that each of the temporary differences described is an</w:t>
      </w:r>
      <w:r>
        <w:t xml:space="preserve"> </w:t>
      </w:r>
      <w:r w:rsidRPr="007506CC">
        <w:t xml:space="preserve">originating difference. </w:t>
      </w:r>
    </w:p>
    <w:p w:rsidR="007506CC" w:rsidRPr="007506CC" w:rsidRDefault="007506CC" w:rsidP="007506CC">
      <w:pPr>
        <w:pStyle w:val="ListParagraph"/>
        <w:numPr>
          <w:ilvl w:val="0"/>
          <w:numId w:val="21"/>
        </w:numPr>
        <w:ind w:left="1080"/>
      </w:pPr>
      <w:r w:rsidRPr="007506CC">
        <w:t>Municipal bond interest</w:t>
      </w:r>
      <w:r w:rsidR="00715DFA">
        <w:t>-</w:t>
      </w:r>
      <w:r w:rsidR="00715DFA" w:rsidRPr="00715DFA">
        <w:rPr>
          <w:highlight w:val="yellow"/>
        </w:rPr>
        <w:t>Permanent</w:t>
      </w:r>
    </w:p>
    <w:p w:rsidR="007506CC" w:rsidRPr="00715DFA" w:rsidRDefault="007506CC" w:rsidP="007506CC">
      <w:pPr>
        <w:pStyle w:val="ListParagraph"/>
        <w:numPr>
          <w:ilvl w:val="0"/>
          <w:numId w:val="21"/>
        </w:numPr>
        <w:ind w:left="1080"/>
        <w:rPr>
          <w:highlight w:val="yellow"/>
        </w:rPr>
      </w:pPr>
      <w:r w:rsidRPr="007506CC">
        <w:t>Accrued warranty expense</w:t>
      </w:r>
      <w:r w:rsidR="00715DFA">
        <w:t>-</w:t>
      </w:r>
      <w:r w:rsidR="00715DFA" w:rsidRPr="00715DFA">
        <w:rPr>
          <w:highlight w:val="yellow"/>
        </w:rPr>
        <w:t xml:space="preserve">Temp, </w:t>
      </w:r>
      <w:r w:rsidR="000202BA">
        <w:rPr>
          <w:highlight w:val="yellow"/>
        </w:rPr>
        <w:t xml:space="preserve"> def </w:t>
      </w:r>
      <w:r w:rsidR="00715DFA" w:rsidRPr="00715DFA">
        <w:rPr>
          <w:highlight w:val="yellow"/>
        </w:rPr>
        <w:t>tax asset</w:t>
      </w:r>
    </w:p>
    <w:p w:rsidR="007506CC" w:rsidRPr="007506CC" w:rsidRDefault="007506CC" w:rsidP="007506CC">
      <w:pPr>
        <w:pStyle w:val="ListParagraph"/>
        <w:numPr>
          <w:ilvl w:val="0"/>
          <w:numId w:val="21"/>
        </w:numPr>
        <w:ind w:left="1080"/>
      </w:pPr>
      <w:r w:rsidRPr="007506CC">
        <w:t>Sales revenues received in advance</w:t>
      </w:r>
      <w:r w:rsidR="00715DFA">
        <w:t>-</w:t>
      </w:r>
      <w:r w:rsidR="00715DFA" w:rsidRPr="00715DFA">
        <w:rPr>
          <w:highlight w:val="yellow"/>
        </w:rPr>
        <w:t xml:space="preserve"> temp,def tax asset</w:t>
      </w:r>
    </w:p>
    <w:p w:rsidR="007506CC" w:rsidRPr="007506CC" w:rsidRDefault="007506CC" w:rsidP="007506CC">
      <w:pPr>
        <w:pStyle w:val="ListParagraph"/>
        <w:numPr>
          <w:ilvl w:val="0"/>
          <w:numId w:val="21"/>
        </w:numPr>
        <w:ind w:left="1080"/>
      </w:pPr>
      <w:r w:rsidRPr="007506CC">
        <w:t xml:space="preserve">Prepaid insurance where the tax deduction in future years will be less than the book expense </w:t>
      </w:r>
      <w:r w:rsidR="00715DFA" w:rsidRPr="00715DFA">
        <w:rPr>
          <w:highlight w:val="yellow"/>
        </w:rPr>
        <w:t>Temp, def tax liability</w:t>
      </w:r>
    </w:p>
    <w:p w:rsidR="007506CC" w:rsidRPr="00715DFA" w:rsidRDefault="007506CC" w:rsidP="007506CC">
      <w:pPr>
        <w:pStyle w:val="ListParagraph"/>
        <w:numPr>
          <w:ilvl w:val="0"/>
          <w:numId w:val="21"/>
        </w:numPr>
        <w:ind w:left="1080"/>
        <w:rPr>
          <w:highlight w:val="yellow"/>
        </w:rPr>
      </w:pPr>
      <w:r w:rsidRPr="007506CC">
        <w:t>Tax depreciation expense exceeds GAAP (book) depreciation expense</w:t>
      </w:r>
      <w:r w:rsidR="00715DFA">
        <w:t>-</w:t>
      </w:r>
      <w:r w:rsidR="00715DFA" w:rsidRPr="00715DFA">
        <w:rPr>
          <w:highlight w:val="yellow"/>
        </w:rPr>
        <w:t>Temp, def tax liability</w:t>
      </w:r>
    </w:p>
    <w:p w:rsidR="007506CC" w:rsidRPr="00715DFA" w:rsidRDefault="007506CC" w:rsidP="007506CC">
      <w:pPr>
        <w:pStyle w:val="ListParagraph"/>
        <w:numPr>
          <w:ilvl w:val="0"/>
          <w:numId w:val="21"/>
        </w:numPr>
        <w:ind w:left="1080"/>
        <w:rPr>
          <w:highlight w:val="yellow"/>
        </w:rPr>
      </w:pPr>
      <w:r w:rsidRPr="007506CC">
        <w:t>Accrued bad debt expense</w:t>
      </w:r>
      <w:r w:rsidR="00715DFA">
        <w:t>-</w:t>
      </w:r>
      <w:r w:rsidR="00715DFA" w:rsidRPr="00715DFA">
        <w:rPr>
          <w:highlight w:val="yellow"/>
        </w:rPr>
        <w:t>temp,def tax asset</w:t>
      </w:r>
    </w:p>
    <w:p w:rsidR="007506CC" w:rsidRPr="007506CC" w:rsidRDefault="007506CC" w:rsidP="007506CC">
      <w:pPr>
        <w:pStyle w:val="ListParagraph"/>
        <w:numPr>
          <w:ilvl w:val="0"/>
          <w:numId w:val="21"/>
        </w:numPr>
        <w:ind w:left="1080"/>
      </w:pPr>
      <w:r w:rsidRPr="007506CC">
        <w:t>The dividends received deduction</w:t>
      </w:r>
      <w:r w:rsidR="00715DFA">
        <w:t>-</w:t>
      </w:r>
      <w:r w:rsidR="00715DFA" w:rsidRPr="00715DFA">
        <w:rPr>
          <w:highlight w:val="yellow"/>
        </w:rPr>
        <w:t>perm</w:t>
      </w:r>
    </w:p>
    <w:p w:rsidR="007506CC" w:rsidRPr="007506CC" w:rsidRDefault="007506CC" w:rsidP="007506CC">
      <w:pPr>
        <w:pStyle w:val="ListParagraph"/>
        <w:numPr>
          <w:ilvl w:val="0"/>
          <w:numId w:val="21"/>
        </w:numPr>
        <w:ind w:left="1080"/>
      </w:pPr>
      <w:r w:rsidRPr="007506CC">
        <w:t>Installment sales revenue (recognized currently for GAAP, recognized for tax purposes when cash is collected in future years)</w:t>
      </w:r>
      <w:r w:rsidR="00715DFA">
        <w:t>-</w:t>
      </w:r>
      <w:r w:rsidR="00715DFA" w:rsidRPr="00715DFA">
        <w:rPr>
          <w:highlight w:val="yellow"/>
        </w:rPr>
        <w:t>Temp, def tax liability</w:t>
      </w:r>
    </w:p>
    <w:p w:rsidR="007506CC" w:rsidRPr="007506CC" w:rsidRDefault="007506CC" w:rsidP="007506CC">
      <w:pPr>
        <w:pStyle w:val="ListParagraph"/>
        <w:numPr>
          <w:ilvl w:val="0"/>
          <w:numId w:val="21"/>
        </w:numPr>
        <w:ind w:left="1080"/>
      </w:pPr>
      <w:r w:rsidRPr="007506CC">
        <w:t>Life insurance payments for executives for which the company is the beneficiary</w:t>
      </w:r>
      <w:r w:rsidR="00715DFA">
        <w:t>-</w:t>
      </w:r>
      <w:r w:rsidR="00715DFA" w:rsidRPr="00715DFA">
        <w:rPr>
          <w:highlight w:val="yellow"/>
        </w:rPr>
        <w:t>Perm</w:t>
      </w:r>
    </w:p>
    <w:p w:rsidR="007506CC" w:rsidRPr="007506CC" w:rsidRDefault="007506CC" w:rsidP="007506CC">
      <w:pPr>
        <w:pStyle w:val="ListParagraph"/>
        <w:numPr>
          <w:ilvl w:val="0"/>
          <w:numId w:val="21"/>
        </w:numPr>
        <w:ind w:left="1080"/>
      </w:pPr>
      <w:r w:rsidRPr="007506CC">
        <w:t>Fines paid for law violations</w:t>
      </w:r>
      <w:r w:rsidR="00715DFA">
        <w:t>-</w:t>
      </w:r>
      <w:r w:rsidR="00715DFA" w:rsidRPr="00715DFA">
        <w:rPr>
          <w:highlight w:val="yellow"/>
        </w:rPr>
        <w:t>Perm</w:t>
      </w:r>
    </w:p>
    <w:p w:rsidR="007506CC" w:rsidRPr="007506CC" w:rsidRDefault="007506CC" w:rsidP="007506CC">
      <w:pPr>
        <w:ind w:left="720" w:hanging="720"/>
      </w:pPr>
    </w:p>
    <w:p w:rsidR="007506CC" w:rsidRDefault="007506CC" w:rsidP="007506CC">
      <w:pPr>
        <w:pStyle w:val="ListParagraph"/>
        <w:numPr>
          <w:ilvl w:val="0"/>
          <w:numId w:val="17"/>
        </w:numPr>
      </w:pPr>
      <w:r w:rsidRPr="007506CC">
        <w:t>Explain why temporary differences result in deferred tax assets or deferred tax liabilities while permanent differences do not, and describe the difference in the formation of deferred tax assets and deferred tax liabilities.</w:t>
      </w:r>
    </w:p>
    <w:p w:rsidR="0060632A" w:rsidRDefault="0060632A" w:rsidP="0060632A"/>
    <w:p w:rsidR="00834194" w:rsidRDefault="0060632A" w:rsidP="00834194">
      <w:r>
        <w:t>Answer:</w:t>
      </w:r>
    </w:p>
    <w:p w:rsidR="00834194" w:rsidRPr="0060632A" w:rsidRDefault="00834194" w:rsidP="00834194">
      <w:pPr>
        <w:pStyle w:val="NormalWeb"/>
        <w:shd w:val="clear" w:color="auto" w:fill="FFFFFF"/>
        <w:rPr>
          <w:bCs/>
          <w:color w:val="333333"/>
          <w:sz w:val="27"/>
          <w:szCs w:val="27"/>
        </w:rPr>
      </w:pPr>
      <w:r w:rsidRPr="0060632A">
        <w:rPr>
          <w:spacing w:val="-2"/>
        </w:rPr>
        <w:t xml:space="preserve">Temporary differences </w:t>
      </w:r>
      <w:r w:rsidRPr="0060632A">
        <w:t>arise when the tax basis of an asset or liability and its reported amount in the financial statements differ. This difference will reverse and result in taxable or deductible amounts in future years as the asset is recovered or the liability is settled at its reported amount.</w:t>
      </w:r>
      <w:r w:rsidRPr="0060632A">
        <w:t xml:space="preserve"> </w:t>
      </w:r>
      <w:r w:rsidRPr="0060632A">
        <w:t xml:space="preserve">Permanent differences are items that (a) enter into financial income but </w:t>
      </w:r>
      <w:r w:rsidRPr="0060632A">
        <w:rPr>
          <w:i/>
          <w:iCs/>
        </w:rPr>
        <w:t xml:space="preserve">never </w:t>
      </w:r>
      <w:r w:rsidRPr="0060632A">
        <w:t xml:space="preserve">into taxable </w:t>
      </w:r>
      <w:r w:rsidRPr="0060632A">
        <w:rPr>
          <w:spacing w:val="-4"/>
        </w:rPr>
        <w:t xml:space="preserve">income or (b) enter into taxable income but </w:t>
      </w:r>
      <w:r w:rsidRPr="0060632A">
        <w:rPr>
          <w:i/>
          <w:iCs/>
          <w:spacing w:val="-4"/>
        </w:rPr>
        <w:t xml:space="preserve">never </w:t>
      </w:r>
      <w:r w:rsidRPr="0060632A">
        <w:rPr>
          <w:spacing w:val="-4"/>
        </w:rPr>
        <w:t>into financial income</w:t>
      </w:r>
      <w:r w:rsidR="0060632A">
        <w:rPr>
          <w:spacing w:val="-4"/>
        </w:rPr>
        <w:t>. T</w:t>
      </w:r>
      <w:r w:rsidR="0060632A" w:rsidRPr="0060632A">
        <w:t>hese</w:t>
      </w:r>
      <w:r w:rsidRPr="0060632A">
        <w:t xml:space="preserve"> items are not included in the computation of taxable income, and the profession has concluded that the tax consequences of these differences should not be recognized.</w:t>
      </w:r>
      <w:r w:rsidRPr="0060632A">
        <w:rPr>
          <w:color w:val="333333"/>
        </w:rPr>
        <w:t xml:space="preserve"> </w:t>
      </w:r>
      <w:r w:rsidRPr="0060632A">
        <w:rPr>
          <w:bCs/>
          <w:color w:val="333333"/>
          <w:sz w:val="27"/>
          <w:szCs w:val="27"/>
        </w:rPr>
        <w:t>The existence of any deferred tax asset or liability is a result of temporary differences between taxes paid for the period and taxes payable for the period. The bigger that difference becomes, the bigger the deferred tax asset or liability on the balance sheet would be.</w:t>
      </w:r>
    </w:p>
    <w:p w:rsidR="00834194" w:rsidRPr="00834194" w:rsidRDefault="00834194" w:rsidP="00834194">
      <w:pPr>
        <w:shd w:val="clear" w:color="auto" w:fill="FFFFFF"/>
        <w:rPr>
          <w:bCs/>
          <w:color w:val="333333"/>
          <w:sz w:val="27"/>
          <w:szCs w:val="27"/>
        </w:rPr>
      </w:pPr>
      <w:r w:rsidRPr="00834194">
        <w:rPr>
          <w:bCs/>
          <w:color w:val="333333"/>
          <w:sz w:val="27"/>
          <w:szCs w:val="27"/>
        </w:rPr>
        <w:t xml:space="preserve">Recording of deferred tax asset (liability) should only be made if these differences are </w:t>
      </w:r>
      <w:r w:rsidRPr="0060632A">
        <w:rPr>
          <w:bCs/>
          <w:color w:val="333333"/>
          <w:sz w:val="27"/>
          <w:szCs w:val="27"/>
        </w:rPr>
        <w:t>expected to reverse in the future</w:t>
      </w:r>
      <w:r w:rsidRPr="00834194">
        <w:rPr>
          <w:bCs/>
          <w:color w:val="333333"/>
          <w:sz w:val="27"/>
          <w:szCs w:val="27"/>
        </w:rPr>
        <w:t>. If it is doubtful that future economic benefits will be realized from a temporary difference, the temporary difference will not lead to the creation of a deferred tax asset or liability.</w:t>
      </w:r>
    </w:p>
    <w:p w:rsidR="00834194" w:rsidRDefault="00834194" w:rsidP="00834194">
      <w:pPr>
        <w:pStyle w:val="Review"/>
      </w:pPr>
    </w:p>
    <w:p w:rsidR="00834194" w:rsidRDefault="00834194" w:rsidP="00834194">
      <w:pPr>
        <w:pStyle w:val="Review"/>
      </w:pPr>
    </w:p>
    <w:p w:rsidR="00834194" w:rsidRDefault="00834194" w:rsidP="00834194"/>
    <w:p w:rsidR="00834194" w:rsidRPr="007506CC" w:rsidRDefault="00834194" w:rsidP="00834194"/>
    <w:p w:rsidR="001D1A21" w:rsidRPr="007506CC" w:rsidRDefault="001D1A21" w:rsidP="007506CC"/>
    <w:sectPr w:rsidR="001D1A21" w:rsidRPr="007506CC" w:rsidSect="001D1A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BA" w:rsidRDefault="003B10BA">
      <w:r>
        <w:separator/>
      </w:r>
    </w:p>
  </w:endnote>
  <w:endnote w:type="continuationSeparator" w:id="0">
    <w:p w:rsidR="003B10BA" w:rsidRDefault="003B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default"/>
  </w:font>
  <w:font w:name="MyriaMM_400 RG 300 CN">
    <w:charset w:val="00"/>
    <w:family w:val="auto"/>
    <w:pitch w:val="default"/>
  </w:font>
  <w:font w:name="MyriaMM_700 BD 600 NO">
    <w:altName w:val="Times New Roman"/>
    <w:charset w:val="00"/>
    <w:family w:val="auto"/>
    <w:pitch w:val="default"/>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BA" w:rsidRDefault="003B10BA">
      <w:r>
        <w:separator/>
      </w:r>
    </w:p>
  </w:footnote>
  <w:footnote w:type="continuationSeparator" w:id="0">
    <w:p w:rsidR="003B10BA" w:rsidRDefault="003B1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C2355"/>
    <w:multiLevelType w:val="hybridMultilevel"/>
    <w:tmpl w:val="568C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E2F5C"/>
    <w:multiLevelType w:val="hybridMultilevel"/>
    <w:tmpl w:val="348A19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17EE5"/>
    <w:multiLevelType w:val="hybridMultilevel"/>
    <w:tmpl w:val="4502C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6AF2"/>
    <w:multiLevelType w:val="hybridMultilevel"/>
    <w:tmpl w:val="BBFE7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75929"/>
    <w:multiLevelType w:val="hybridMultilevel"/>
    <w:tmpl w:val="318AC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92F8D"/>
    <w:multiLevelType w:val="hybridMultilevel"/>
    <w:tmpl w:val="FBD011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6DA3402"/>
    <w:multiLevelType w:val="hybridMultilevel"/>
    <w:tmpl w:val="7EFE5970"/>
    <w:lvl w:ilvl="0" w:tplc="805A9D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37ADF"/>
    <w:multiLevelType w:val="hybridMultilevel"/>
    <w:tmpl w:val="7C6833AC"/>
    <w:lvl w:ilvl="0" w:tplc="89202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F453D"/>
    <w:multiLevelType w:val="hybridMultilevel"/>
    <w:tmpl w:val="0098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67DE4"/>
    <w:multiLevelType w:val="hybridMultilevel"/>
    <w:tmpl w:val="B2669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C7EF9"/>
    <w:multiLevelType w:val="hybridMultilevel"/>
    <w:tmpl w:val="FA9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090E89"/>
    <w:multiLevelType w:val="hybridMultilevel"/>
    <w:tmpl w:val="D2E67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F38EC"/>
    <w:multiLevelType w:val="hybridMultilevel"/>
    <w:tmpl w:val="CABC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014AF"/>
    <w:multiLevelType w:val="hybridMultilevel"/>
    <w:tmpl w:val="8F24FB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139A1"/>
    <w:multiLevelType w:val="hybridMultilevel"/>
    <w:tmpl w:val="4502C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F546C"/>
    <w:multiLevelType w:val="hybridMultilevel"/>
    <w:tmpl w:val="CF2E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02383"/>
    <w:multiLevelType w:val="hybridMultilevel"/>
    <w:tmpl w:val="B2669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90C62"/>
    <w:multiLevelType w:val="hybridMultilevel"/>
    <w:tmpl w:val="8F24FB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0"/>
  </w:num>
  <w:num w:numId="4">
    <w:abstractNumId w:val="11"/>
  </w:num>
  <w:num w:numId="5">
    <w:abstractNumId w:val="18"/>
  </w:num>
  <w:num w:numId="6">
    <w:abstractNumId w:val="1"/>
  </w:num>
  <w:num w:numId="7">
    <w:abstractNumId w:val="14"/>
  </w:num>
  <w:num w:numId="8">
    <w:abstractNumId w:val="6"/>
  </w:num>
  <w:num w:numId="9">
    <w:abstractNumId w:val="10"/>
  </w:num>
  <w:num w:numId="10">
    <w:abstractNumId w:val="5"/>
  </w:num>
  <w:num w:numId="11">
    <w:abstractNumId w:val="17"/>
  </w:num>
  <w:num w:numId="12">
    <w:abstractNumId w:val="4"/>
  </w:num>
  <w:num w:numId="13">
    <w:abstractNumId w:val="19"/>
  </w:num>
  <w:num w:numId="14">
    <w:abstractNumId w:val="3"/>
  </w:num>
  <w:num w:numId="15">
    <w:abstractNumId w:val="20"/>
  </w:num>
  <w:num w:numId="16">
    <w:abstractNumId w:val="16"/>
  </w:num>
  <w:num w:numId="17">
    <w:abstractNumId w:val="13"/>
  </w:num>
  <w:num w:numId="18">
    <w:abstractNumId w:val="9"/>
  </w:num>
  <w:num w:numId="19">
    <w:abstractNumId w:val="7"/>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202BA"/>
    <w:rsid w:val="00040201"/>
    <w:rsid w:val="00136350"/>
    <w:rsid w:val="00184DA9"/>
    <w:rsid w:val="001D1A21"/>
    <w:rsid w:val="001D3684"/>
    <w:rsid w:val="001F132A"/>
    <w:rsid w:val="002D6627"/>
    <w:rsid w:val="0035650D"/>
    <w:rsid w:val="003736F1"/>
    <w:rsid w:val="003B10BA"/>
    <w:rsid w:val="005147E1"/>
    <w:rsid w:val="0060632A"/>
    <w:rsid w:val="00715DFA"/>
    <w:rsid w:val="007506CC"/>
    <w:rsid w:val="007B3A9C"/>
    <w:rsid w:val="007E1B8C"/>
    <w:rsid w:val="00834194"/>
    <w:rsid w:val="009D753C"/>
    <w:rsid w:val="009F29E0"/>
    <w:rsid w:val="00D6407F"/>
    <w:rsid w:val="00E87D90"/>
    <w:rsid w:val="00F5347D"/>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docId w15:val="{A83B5679-6EAA-4A77-BDD3-F5E60672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uiPriority w:val="22"/>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87D90"/>
    <w:pPr>
      <w:ind w:left="720"/>
      <w:contextualSpacing/>
    </w:pPr>
    <w:rPr>
      <w:rFonts w:eastAsia="MS Mincho"/>
    </w:rPr>
  </w:style>
  <w:style w:type="paragraph" w:styleId="NormalWeb">
    <w:name w:val="Normal (Web)"/>
    <w:basedOn w:val="Normal"/>
    <w:uiPriority w:val="99"/>
    <w:rsid w:val="0035650D"/>
    <w:pPr>
      <w:spacing w:before="100" w:beforeAutospacing="1" w:after="100" w:afterAutospacing="1"/>
    </w:pPr>
  </w:style>
  <w:style w:type="paragraph" w:customStyle="1" w:styleId="Review">
    <w:name w:val="Review"/>
    <w:basedOn w:val="BlockText"/>
    <w:uiPriority w:val="99"/>
    <w:rsid w:val="00834194"/>
    <w:pPr>
      <w:pBdr>
        <w:top w:val="none" w:sz="0" w:space="0" w:color="auto"/>
        <w:left w:val="none" w:sz="0" w:space="0" w:color="auto"/>
        <w:bottom w:val="none" w:sz="0" w:space="0" w:color="auto"/>
        <w:right w:val="none" w:sz="0" w:space="0" w:color="auto"/>
      </w:pBdr>
      <w:tabs>
        <w:tab w:val="right" w:pos="360"/>
        <w:tab w:val="left" w:pos="540"/>
      </w:tabs>
      <w:spacing w:line="280" w:lineRule="exact"/>
      <w:ind w:left="547" w:right="0" w:hanging="547"/>
      <w:jc w:val="both"/>
    </w:pPr>
    <w:rPr>
      <w:rFonts w:ascii="Helvetica" w:hAnsi="Helvetica" w:cs="Helvetica"/>
      <w:i w:val="0"/>
      <w:iCs w:val="0"/>
      <w:color w:val="auto"/>
    </w:rPr>
  </w:style>
  <w:style w:type="paragraph" w:styleId="BlockText">
    <w:name w:val="Block Text"/>
    <w:basedOn w:val="Normal"/>
    <w:semiHidden/>
    <w:unhideWhenUsed/>
    <w:rsid w:val="008341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775448629">
      <w:bodyDiv w:val="1"/>
      <w:marLeft w:val="0"/>
      <w:marRight w:val="0"/>
      <w:marTop w:val="0"/>
      <w:marBottom w:val="0"/>
      <w:divBdr>
        <w:top w:val="none" w:sz="0" w:space="0" w:color="auto"/>
        <w:left w:val="none" w:sz="0" w:space="0" w:color="auto"/>
        <w:bottom w:val="none" w:sz="0" w:space="0" w:color="auto"/>
        <w:right w:val="none" w:sz="0" w:space="0" w:color="auto"/>
      </w:divBdr>
    </w:div>
    <w:div w:id="830409312">
      <w:bodyDiv w:val="1"/>
      <w:marLeft w:val="0"/>
      <w:marRight w:val="0"/>
      <w:marTop w:val="0"/>
      <w:marBottom w:val="0"/>
      <w:divBdr>
        <w:top w:val="none" w:sz="0" w:space="0" w:color="auto"/>
        <w:left w:val="none" w:sz="0" w:space="0" w:color="auto"/>
        <w:bottom w:val="none" w:sz="0" w:space="0" w:color="auto"/>
        <w:right w:val="none" w:sz="0" w:space="0" w:color="auto"/>
      </w:divBdr>
    </w:div>
    <w:div w:id="953942797">
      <w:bodyDiv w:val="1"/>
      <w:marLeft w:val="0"/>
      <w:marRight w:val="0"/>
      <w:marTop w:val="0"/>
      <w:marBottom w:val="0"/>
      <w:divBdr>
        <w:top w:val="none" w:sz="0" w:space="0" w:color="auto"/>
        <w:left w:val="none" w:sz="0" w:space="0" w:color="auto"/>
        <w:bottom w:val="none" w:sz="0" w:space="0" w:color="auto"/>
        <w:right w:val="none" w:sz="0" w:space="0" w:color="auto"/>
      </w:divBdr>
    </w:div>
    <w:div w:id="1155995564">
      <w:bodyDiv w:val="1"/>
      <w:marLeft w:val="0"/>
      <w:marRight w:val="0"/>
      <w:marTop w:val="0"/>
      <w:marBottom w:val="0"/>
      <w:divBdr>
        <w:top w:val="none" w:sz="0" w:space="0" w:color="auto"/>
        <w:left w:val="none" w:sz="0" w:space="0" w:color="auto"/>
        <w:bottom w:val="none" w:sz="0" w:space="0" w:color="auto"/>
        <w:right w:val="none" w:sz="0" w:space="0" w:color="auto"/>
      </w:divBdr>
    </w:div>
    <w:div w:id="1198204779">
      <w:bodyDiv w:val="1"/>
      <w:marLeft w:val="0"/>
      <w:marRight w:val="0"/>
      <w:marTop w:val="0"/>
      <w:marBottom w:val="0"/>
      <w:divBdr>
        <w:top w:val="none" w:sz="0" w:space="0" w:color="auto"/>
        <w:left w:val="none" w:sz="0" w:space="0" w:color="auto"/>
        <w:bottom w:val="none" w:sz="0" w:space="0" w:color="auto"/>
        <w:right w:val="none" w:sz="0" w:space="0" w:color="auto"/>
      </w:divBdr>
    </w:div>
    <w:div w:id="1312564211">
      <w:bodyDiv w:val="1"/>
      <w:marLeft w:val="0"/>
      <w:marRight w:val="0"/>
      <w:marTop w:val="0"/>
      <w:marBottom w:val="0"/>
      <w:divBdr>
        <w:top w:val="none" w:sz="0" w:space="0" w:color="auto"/>
        <w:left w:val="none" w:sz="0" w:space="0" w:color="auto"/>
        <w:bottom w:val="none" w:sz="0" w:space="0" w:color="auto"/>
        <w:right w:val="none" w:sz="0" w:space="0" w:color="auto"/>
      </w:divBdr>
    </w:div>
    <w:div w:id="1556161344">
      <w:bodyDiv w:val="1"/>
      <w:marLeft w:val="0"/>
      <w:marRight w:val="0"/>
      <w:marTop w:val="0"/>
      <w:marBottom w:val="0"/>
      <w:divBdr>
        <w:top w:val="none" w:sz="0" w:space="0" w:color="auto"/>
        <w:left w:val="none" w:sz="0" w:space="0" w:color="auto"/>
        <w:bottom w:val="none" w:sz="0" w:space="0" w:color="auto"/>
        <w:right w:val="none" w:sz="0" w:space="0" w:color="auto"/>
      </w:divBdr>
    </w:div>
    <w:div w:id="1705714165">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 w:id="2127574692">
      <w:bodyDiv w:val="1"/>
      <w:marLeft w:val="0"/>
      <w:marRight w:val="0"/>
      <w:marTop w:val="0"/>
      <w:marBottom w:val="0"/>
      <w:divBdr>
        <w:top w:val="none" w:sz="0" w:space="0" w:color="auto"/>
        <w:left w:val="none" w:sz="0" w:space="0" w:color="auto"/>
        <w:bottom w:val="none" w:sz="0" w:space="0" w:color="auto"/>
        <w:right w:val="none" w:sz="0" w:space="0" w:color="auto"/>
      </w:divBdr>
      <w:divsChild>
        <w:div w:id="650794293">
          <w:marLeft w:val="0"/>
          <w:marRight w:val="0"/>
          <w:marTop w:val="0"/>
          <w:marBottom w:val="0"/>
          <w:divBdr>
            <w:top w:val="none" w:sz="0" w:space="0" w:color="auto"/>
            <w:left w:val="none" w:sz="0" w:space="0" w:color="auto"/>
            <w:bottom w:val="none" w:sz="0" w:space="0" w:color="auto"/>
            <w:right w:val="none" w:sz="0" w:space="0" w:color="auto"/>
          </w:divBdr>
          <w:divsChild>
            <w:div w:id="62611093">
              <w:marLeft w:val="0"/>
              <w:marRight w:val="0"/>
              <w:marTop w:val="0"/>
              <w:marBottom w:val="0"/>
              <w:divBdr>
                <w:top w:val="none" w:sz="0" w:space="0" w:color="auto"/>
                <w:left w:val="none" w:sz="0" w:space="0" w:color="auto"/>
                <w:bottom w:val="none" w:sz="0" w:space="0" w:color="auto"/>
                <w:right w:val="none" w:sz="0" w:space="0" w:color="auto"/>
              </w:divBdr>
              <w:divsChild>
                <w:div w:id="201947588">
                  <w:marLeft w:val="0"/>
                  <w:marRight w:val="0"/>
                  <w:marTop w:val="0"/>
                  <w:marBottom w:val="0"/>
                  <w:divBdr>
                    <w:top w:val="none" w:sz="0" w:space="0" w:color="auto"/>
                    <w:left w:val="none" w:sz="0" w:space="0" w:color="auto"/>
                    <w:bottom w:val="none" w:sz="0" w:space="0" w:color="auto"/>
                    <w:right w:val="none" w:sz="0" w:space="0" w:color="auto"/>
                  </w:divBdr>
                  <w:divsChild>
                    <w:div w:id="367267981">
                      <w:marLeft w:val="-225"/>
                      <w:marRight w:val="-225"/>
                      <w:marTop w:val="0"/>
                      <w:marBottom w:val="0"/>
                      <w:divBdr>
                        <w:top w:val="none" w:sz="0" w:space="0" w:color="auto"/>
                        <w:left w:val="none" w:sz="0" w:space="0" w:color="auto"/>
                        <w:bottom w:val="none" w:sz="0" w:space="0" w:color="auto"/>
                        <w:right w:val="none" w:sz="0" w:space="0" w:color="auto"/>
                      </w:divBdr>
                      <w:divsChild>
                        <w:div w:id="704908142">
                          <w:marLeft w:val="0"/>
                          <w:marRight w:val="0"/>
                          <w:marTop w:val="0"/>
                          <w:marBottom w:val="0"/>
                          <w:divBdr>
                            <w:top w:val="none" w:sz="0" w:space="0" w:color="auto"/>
                            <w:left w:val="none" w:sz="0" w:space="0" w:color="auto"/>
                            <w:bottom w:val="none" w:sz="0" w:space="0" w:color="auto"/>
                            <w:right w:val="none" w:sz="0" w:space="0" w:color="auto"/>
                          </w:divBdr>
                          <w:divsChild>
                            <w:div w:id="1934972595">
                              <w:marLeft w:val="300"/>
                              <w:marRight w:val="300"/>
                              <w:marTop w:val="600"/>
                              <w:marBottom w:val="600"/>
                              <w:divBdr>
                                <w:top w:val="none" w:sz="0" w:space="0" w:color="auto"/>
                                <w:left w:val="none" w:sz="0" w:space="0" w:color="auto"/>
                                <w:bottom w:val="none" w:sz="0" w:space="0" w:color="auto"/>
                                <w:right w:val="none" w:sz="0" w:space="0" w:color="auto"/>
                              </w:divBdr>
                              <w:divsChild>
                                <w:div w:id="1837652631">
                                  <w:marLeft w:val="0"/>
                                  <w:marRight w:val="0"/>
                                  <w:marTop w:val="0"/>
                                  <w:marBottom w:val="0"/>
                                  <w:divBdr>
                                    <w:top w:val="none" w:sz="0" w:space="0" w:color="auto"/>
                                    <w:left w:val="none" w:sz="0" w:space="0" w:color="auto"/>
                                    <w:bottom w:val="none" w:sz="0" w:space="0" w:color="auto"/>
                                    <w:right w:val="none" w:sz="0" w:space="0" w:color="auto"/>
                                  </w:divBdr>
                                  <w:divsChild>
                                    <w:div w:id="701318982">
                                      <w:marLeft w:val="0"/>
                                      <w:marRight w:val="0"/>
                                      <w:marTop w:val="0"/>
                                      <w:marBottom w:val="0"/>
                                      <w:divBdr>
                                        <w:top w:val="none" w:sz="0" w:space="0" w:color="auto"/>
                                        <w:left w:val="none" w:sz="0" w:space="0" w:color="auto"/>
                                        <w:bottom w:val="none" w:sz="0" w:space="0" w:color="auto"/>
                                        <w:right w:val="none" w:sz="0" w:space="0" w:color="auto"/>
                                      </w:divBdr>
                                      <w:divsChild>
                                        <w:div w:id="1553730799">
                                          <w:marLeft w:val="-225"/>
                                          <w:marRight w:val="-225"/>
                                          <w:marTop w:val="0"/>
                                          <w:marBottom w:val="0"/>
                                          <w:divBdr>
                                            <w:top w:val="none" w:sz="0" w:space="0" w:color="auto"/>
                                            <w:left w:val="none" w:sz="0" w:space="0" w:color="auto"/>
                                            <w:bottom w:val="none" w:sz="0" w:space="0" w:color="auto"/>
                                            <w:right w:val="none" w:sz="0" w:space="0" w:color="auto"/>
                                          </w:divBdr>
                                          <w:divsChild>
                                            <w:div w:id="8771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1C96-97A4-4CAC-B0AC-5E3773D0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Denae Johnson</cp:lastModifiedBy>
  <cp:revision>6</cp:revision>
  <dcterms:created xsi:type="dcterms:W3CDTF">2014-08-29T13:17:00Z</dcterms:created>
  <dcterms:modified xsi:type="dcterms:W3CDTF">2017-05-16T15:44:00Z</dcterms:modified>
</cp:coreProperties>
</file>